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4BA7" w14:textId="77777777" w:rsidR="00306895" w:rsidRPr="00821012" w:rsidRDefault="00306895" w:rsidP="00306895">
      <w:pPr>
        <w:tabs>
          <w:tab w:val="right" w:pos="7655"/>
        </w:tabs>
        <w:spacing w:before="360" w:after="360"/>
        <w:jc w:val="both"/>
        <w:rPr>
          <w:rStyle w:val="flt"/>
          <w:rFonts w:ascii="Arial" w:hAnsi="Arial" w:cs="Arial"/>
          <w:b/>
          <w:szCs w:val="24"/>
          <w:lang w:val="en-US"/>
        </w:rPr>
      </w:pPr>
      <w:r w:rsidRPr="00821012">
        <w:rPr>
          <w:rStyle w:val="flt"/>
          <w:rFonts w:ascii="Arial" w:hAnsi="Arial" w:cs="Arial"/>
          <w:b/>
          <w:szCs w:val="24"/>
          <w:lang w:val="en-US"/>
        </w:rPr>
        <w:t>STRENGTHENING COMMUNITY POLICING IN ALBANIA, PHASE 3, PROGRAM IMPLEMENTATION, 2024-2030</w:t>
      </w:r>
    </w:p>
    <w:p w14:paraId="22A2D659" w14:textId="77777777" w:rsidR="00821012" w:rsidRPr="00821012" w:rsidRDefault="00821012" w:rsidP="00821012">
      <w:pPr>
        <w:autoSpaceDE w:val="0"/>
        <w:autoSpaceDN w:val="0"/>
        <w:adjustRightInd w:val="0"/>
        <w:rPr>
          <w:rFonts w:asciiTheme="majorHAnsi" w:eastAsia="Calibri" w:hAnsiTheme="majorHAnsi" w:cstheme="majorHAnsi"/>
          <w:b/>
          <w:i/>
          <w:color w:val="FF0000"/>
          <w:sz w:val="28"/>
          <w:szCs w:val="28"/>
          <w:lang w:val="en-GB" w:bidi="en-GB"/>
        </w:rPr>
      </w:pPr>
      <w:r w:rsidRPr="00821012">
        <w:rPr>
          <w:rStyle w:val="flt"/>
          <w:rFonts w:ascii="Arial" w:hAnsi="Arial" w:cs="Arial"/>
          <w:b/>
          <w:lang w:val="en-US"/>
        </w:rPr>
        <w:t>UM2023/30292/TIRA</w:t>
      </w:r>
    </w:p>
    <w:p w14:paraId="557CF007" w14:textId="77777777" w:rsidR="0009283A" w:rsidRPr="00821012" w:rsidRDefault="0009283A">
      <w:pPr>
        <w:rPr>
          <w:b/>
          <w:lang w:val="en-GB"/>
        </w:rPr>
      </w:pPr>
    </w:p>
    <w:p w14:paraId="3AF2CF2C" w14:textId="601B68F0" w:rsidR="007B2760" w:rsidRPr="00652F32" w:rsidRDefault="00F7643C">
      <w:pPr>
        <w:rPr>
          <w:b/>
          <w:lang w:val="en-GB"/>
        </w:rPr>
      </w:pPr>
      <w:r>
        <w:rPr>
          <w:b/>
          <w:lang w:val="en-GB"/>
        </w:rPr>
        <w:t>Supplementary Clarification following a</w:t>
      </w:r>
      <w:r w:rsidR="00F74623">
        <w:rPr>
          <w:b/>
          <w:lang w:val="en-GB"/>
        </w:rPr>
        <w:t xml:space="preserve"> </w:t>
      </w:r>
      <w:r>
        <w:rPr>
          <w:b/>
          <w:lang w:val="en-GB"/>
        </w:rPr>
        <w:t xml:space="preserve">request by one </w:t>
      </w:r>
      <w:r w:rsidR="00F74623">
        <w:rPr>
          <w:b/>
          <w:lang w:val="en-GB"/>
        </w:rPr>
        <w:t>firm</w:t>
      </w:r>
    </w:p>
    <w:p w14:paraId="51D014EF" w14:textId="77777777" w:rsidR="007B2760" w:rsidRPr="002B670C" w:rsidRDefault="007B2760">
      <w:pPr>
        <w:rPr>
          <w:lang w:val="en-GB"/>
        </w:rPr>
      </w:pPr>
    </w:p>
    <w:tbl>
      <w:tblPr>
        <w:tblStyle w:val="TableGrid"/>
        <w:tblW w:w="0" w:type="auto"/>
        <w:tblLook w:val="04A0" w:firstRow="1" w:lastRow="0" w:firstColumn="1" w:lastColumn="0" w:noHBand="0" w:noVBand="1"/>
      </w:tblPr>
      <w:tblGrid>
        <w:gridCol w:w="562"/>
        <w:gridCol w:w="4962"/>
        <w:gridCol w:w="5244"/>
      </w:tblGrid>
      <w:tr w:rsidR="00464C99" w14:paraId="1AA6F17C" w14:textId="77777777" w:rsidTr="00284A07">
        <w:tc>
          <w:tcPr>
            <w:tcW w:w="562" w:type="dxa"/>
          </w:tcPr>
          <w:p w14:paraId="53151B84" w14:textId="30B77606" w:rsidR="00464C99" w:rsidRPr="00821012" w:rsidRDefault="00464C99">
            <w:pPr>
              <w:rPr>
                <w:b/>
                <w:bCs/>
              </w:rPr>
            </w:pPr>
            <w:r w:rsidRPr="00821012">
              <w:rPr>
                <w:b/>
                <w:bCs/>
              </w:rPr>
              <w:t>No.</w:t>
            </w:r>
          </w:p>
        </w:tc>
        <w:tc>
          <w:tcPr>
            <w:tcW w:w="4962" w:type="dxa"/>
          </w:tcPr>
          <w:p w14:paraId="6BCD8060" w14:textId="2EED1F6E" w:rsidR="00464C99" w:rsidRPr="00821012" w:rsidRDefault="00464C99">
            <w:pPr>
              <w:rPr>
                <w:b/>
                <w:bCs/>
              </w:rPr>
            </w:pPr>
            <w:r w:rsidRPr="00821012">
              <w:rPr>
                <w:b/>
                <w:bCs/>
              </w:rPr>
              <w:t>Question</w:t>
            </w:r>
          </w:p>
        </w:tc>
        <w:tc>
          <w:tcPr>
            <w:tcW w:w="5244" w:type="dxa"/>
          </w:tcPr>
          <w:p w14:paraId="45C2D285" w14:textId="15384090" w:rsidR="00464C99" w:rsidRPr="00821012" w:rsidRDefault="00464C99">
            <w:pPr>
              <w:rPr>
                <w:b/>
                <w:bCs/>
              </w:rPr>
            </w:pPr>
            <w:proofErr w:type="spellStart"/>
            <w:r w:rsidRPr="00821012">
              <w:rPr>
                <w:b/>
                <w:bCs/>
              </w:rPr>
              <w:t>Answer</w:t>
            </w:r>
            <w:proofErr w:type="spellEnd"/>
          </w:p>
        </w:tc>
      </w:tr>
      <w:tr w:rsidR="004D7654" w:rsidRPr="001043D9" w14:paraId="1EA1325A" w14:textId="77777777" w:rsidTr="00284A07">
        <w:tc>
          <w:tcPr>
            <w:tcW w:w="562" w:type="dxa"/>
          </w:tcPr>
          <w:p w14:paraId="118AE1F7" w14:textId="7E5257A5" w:rsidR="004D7654" w:rsidRDefault="00F74623" w:rsidP="004D7654">
            <w:r>
              <w:t>36</w:t>
            </w:r>
          </w:p>
        </w:tc>
        <w:tc>
          <w:tcPr>
            <w:tcW w:w="4962" w:type="dxa"/>
          </w:tcPr>
          <w:p w14:paraId="283390E4" w14:textId="77777777" w:rsidR="0090110F" w:rsidRDefault="0090110F" w:rsidP="0090110F">
            <w:pPr>
              <w:pStyle w:val="NormalWeb"/>
              <w:rPr>
                <w:lang w:val="sv-SE"/>
              </w:rPr>
            </w:pPr>
            <w:r>
              <w:rPr>
                <w:lang w:val="en-GB"/>
              </w:rPr>
              <w:t xml:space="preserve">We acknowledge that the deadline for sending questions has passed regarding procurement reference UM2023/30292/TIRA. We however believe that there is contradiction in answers to questions 9, 30 and 32 of the clarifications.   Answer to question 9 is: </w:t>
            </w:r>
            <w:r>
              <w:rPr>
                <w:rStyle w:val="Strong"/>
                <w:rFonts w:ascii="Calibri" w:hAnsi="Calibri" w:cs="Calibri"/>
                <w:i/>
                <w:iCs/>
                <w:lang w:val="en-GB"/>
              </w:rPr>
              <w:t>No provision for STE days should be included </w:t>
            </w:r>
            <w:r>
              <w:rPr>
                <w:i/>
                <w:iCs/>
                <w:lang w:val="en-GB"/>
              </w:rPr>
              <w:t xml:space="preserve">in your Financial Proposal. The arrangements for STE will be determined later and services will be hired according to </w:t>
            </w:r>
            <w:proofErr w:type="spellStart"/>
            <w:r>
              <w:rPr>
                <w:i/>
                <w:iCs/>
                <w:lang w:val="en-GB"/>
              </w:rPr>
              <w:t>Sida’s</w:t>
            </w:r>
            <w:proofErr w:type="spellEnd"/>
            <w:r>
              <w:rPr>
                <w:i/>
                <w:iCs/>
                <w:lang w:val="en-GB"/>
              </w:rPr>
              <w:t xml:space="preserve"> Procurement Guidelines</w:t>
            </w:r>
            <w:r>
              <w:rPr>
                <w:lang w:val="en-GB"/>
              </w:rPr>
              <w:t>.  This was clear and guided our strategy.</w:t>
            </w:r>
          </w:p>
          <w:p w14:paraId="5D4A3067" w14:textId="77777777" w:rsidR="0090110F" w:rsidRDefault="0090110F" w:rsidP="0090110F">
            <w:pPr>
              <w:pStyle w:val="NormalWeb"/>
              <w:spacing w:after="120" w:afterAutospacing="0"/>
              <w:rPr>
                <w:lang w:val="sv-SE"/>
              </w:rPr>
            </w:pPr>
            <w:r>
              <w:rPr>
                <w:lang w:val="en-GB"/>
              </w:rPr>
              <w:t>However, answers to questions number 30 and 32 state that:  </w:t>
            </w:r>
            <w:r>
              <w:rPr>
                <w:i/>
                <w:iCs/>
                <w:lang w:val="en-GB"/>
              </w:rPr>
              <w:t>An amount for</w:t>
            </w:r>
            <w:r>
              <w:rPr>
                <w:rStyle w:val="Strong"/>
                <w:rFonts w:ascii="Calibri" w:hAnsi="Calibri" w:cs="Calibri"/>
                <w:i/>
                <w:iCs/>
                <w:lang w:val="en-GB"/>
              </w:rPr>
              <w:t> </w:t>
            </w:r>
            <w:r>
              <w:rPr>
                <w:i/>
                <w:iCs/>
                <w:lang w:val="en-GB"/>
              </w:rPr>
              <w:t xml:space="preserve">reimbursable costs for the implementation of the programme including purchases of goods and services for the beneficiaries related to Community Policing Support, Analysis and Accountability, Specialized Police Capacities. This includes </w:t>
            </w:r>
            <w:r>
              <w:rPr>
                <w:rStyle w:val="Strong"/>
                <w:rFonts w:ascii="Calibri" w:hAnsi="Calibri" w:cs="Calibri"/>
                <w:i/>
                <w:iCs/>
                <w:lang w:val="en-GB"/>
              </w:rPr>
              <w:t>STE support</w:t>
            </w:r>
            <w:r>
              <w:rPr>
                <w:i/>
                <w:iCs/>
                <w:lang w:val="en-GB"/>
              </w:rPr>
              <w:t xml:space="preserve">, but it is not </w:t>
            </w:r>
            <w:r>
              <w:rPr>
                <w:rStyle w:val="Strong"/>
                <w:rFonts w:ascii="Calibri" w:hAnsi="Calibri" w:cs="Calibri"/>
                <w:i/>
                <w:iCs/>
                <w:lang w:val="en-GB"/>
              </w:rPr>
              <w:t>necessary</w:t>
            </w:r>
            <w:r>
              <w:rPr>
                <w:i/>
                <w:iCs/>
                <w:lang w:val="en-GB"/>
              </w:rPr>
              <w:t xml:space="preserve"> to include a specific provision for STE.  In answer to question 32, The need for STE will be determined during implementation of the project and the STE services will be hired by the consultant according to </w:t>
            </w:r>
            <w:proofErr w:type="spellStart"/>
            <w:r>
              <w:rPr>
                <w:i/>
                <w:iCs/>
                <w:lang w:val="en-GB"/>
              </w:rPr>
              <w:t>Sida’s</w:t>
            </w:r>
            <w:proofErr w:type="spellEnd"/>
            <w:r>
              <w:rPr>
                <w:i/>
                <w:iCs/>
                <w:lang w:val="en-GB"/>
              </w:rPr>
              <w:t xml:space="preserve"> Procurement Guidelines. The funds will </w:t>
            </w:r>
            <w:r>
              <w:rPr>
                <w:rStyle w:val="Strong"/>
                <w:rFonts w:ascii="Calibri" w:hAnsi="Calibri" w:cs="Calibri"/>
                <w:i/>
                <w:iCs/>
                <w:lang w:val="en-GB"/>
              </w:rPr>
              <w:t>come from within the envelope of 36,000,000</w:t>
            </w:r>
            <w:r>
              <w:rPr>
                <w:i/>
                <w:iCs/>
                <w:lang w:val="en-GB"/>
              </w:rPr>
              <w:t xml:space="preserve"> SEK.</w:t>
            </w:r>
          </w:p>
          <w:p w14:paraId="022FB464" w14:textId="77777777" w:rsidR="0090110F" w:rsidRDefault="0090110F" w:rsidP="0090110F">
            <w:pPr>
              <w:pStyle w:val="NormalWeb"/>
              <w:spacing w:after="120" w:afterAutospacing="0"/>
              <w:rPr>
                <w:lang w:val="sv-SE"/>
              </w:rPr>
            </w:pPr>
            <w:r>
              <w:rPr>
                <w:lang w:val="en-GB"/>
              </w:rPr>
              <w:t>Please clarify if we allocate certain amount for STE, will it be evaluated as part of the price or not?  Will it be scored according to the method or not, and if yes, how? </w:t>
            </w:r>
          </w:p>
          <w:p w14:paraId="180B71E3" w14:textId="77777777" w:rsidR="004D7654" w:rsidRPr="0090110F" w:rsidRDefault="004D7654" w:rsidP="004D7654">
            <w:pPr>
              <w:rPr>
                <w:rFonts w:eastAsia="Times New Roman"/>
                <w:lang w:val="sv-SE"/>
              </w:rPr>
            </w:pPr>
          </w:p>
        </w:tc>
        <w:tc>
          <w:tcPr>
            <w:tcW w:w="5244" w:type="dxa"/>
          </w:tcPr>
          <w:p w14:paraId="640F6500" w14:textId="77777777" w:rsidR="00714FCB" w:rsidRDefault="00714FCB" w:rsidP="004F1DE5">
            <w:pPr>
              <w:rPr>
                <w:rFonts w:eastAsia="Times New Roman"/>
                <w:lang w:val="en-GB"/>
              </w:rPr>
            </w:pPr>
          </w:p>
          <w:p w14:paraId="22F10689" w14:textId="77777777" w:rsidR="00714FCB" w:rsidRDefault="00714FCB" w:rsidP="004F1DE5">
            <w:pPr>
              <w:rPr>
                <w:rFonts w:eastAsia="Times New Roman"/>
                <w:lang w:val="en-GB"/>
              </w:rPr>
            </w:pPr>
          </w:p>
          <w:p w14:paraId="3FE12432" w14:textId="77777777" w:rsidR="00714FCB" w:rsidRDefault="00714FCB" w:rsidP="004F1DE5">
            <w:pPr>
              <w:rPr>
                <w:rFonts w:eastAsia="Times New Roman"/>
                <w:lang w:val="en-GB"/>
              </w:rPr>
            </w:pPr>
          </w:p>
          <w:p w14:paraId="32F9A71B" w14:textId="77777777" w:rsidR="00714FCB" w:rsidRDefault="00714FCB" w:rsidP="004F1DE5">
            <w:pPr>
              <w:rPr>
                <w:rFonts w:eastAsia="Times New Roman"/>
                <w:lang w:val="en-GB"/>
              </w:rPr>
            </w:pPr>
          </w:p>
          <w:p w14:paraId="5D4073E5" w14:textId="77777777" w:rsidR="00714FCB" w:rsidRDefault="00714FCB" w:rsidP="004F1DE5">
            <w:pPr>
              <w:rPr>
                <w:rFonts w:eastAsia="Times New Roman"/>
                <w:lang w:val="en-GB"/>
              </w:rPr>
            </w:pPr>
          </w:p>
          <w:p w14:paraId="17AED094" w14:textId="77777777" w:rsidR="00714FCB" w:rsidRDefault="00714FCB" w:rsidP="004F1DE5">
            <w:pPr>
              <w:rPr>
                <w:rFonts w:eastAsia="Times New Roman"/>
                <w:lang w:val="en-GB"/>
              </w:rPr>
            </w:pPr>
          </w:p>
          <w:p w14:paraId="7C5AE4CB" w14:textId="77777777" w:rsidR="00714FCB" w:rsidRDefault="00714FCB" w:rsidP="004F1DE5">
            <w:pPr>
              <w:rPr>
                <w:rFonts w:eastAsia="Times New Roman"/>
                <w:lang w:val="en-GB"/>
              </w:rPr>
            </w:pPr>
          </w:p>
          <w:p w14:paraId="477888C8" w14:textId="77777777" w:rsidR="00714FCB" w:rsidRDefault="00714FCB" w:rsidP="004F1DE5">
            <w:pPr>
              <w:rPr>
                <w:rFonts w:eastAsia="Times New Roman"/>
                <w:lang w:val="en-GB"/>
              </w:rPr>
            </w:pPr>
          </w:p>
          <w:p w14:paraId="6521A01C" w14:textId="77777777" w:rsidR="00714FCB" w:rsidRDefault="00714FCB" w:rsidP="004F1DE5">
            <w:pPr>
              <w:rPr>
                <w:rFonts w:eastAsia="Times New Roman"/>
                <w:lang w:val="en-GB"/>
              </w:rPr>
            </w:pPr>
          </w:p>
          <w:p w14:paraId="1778481F" w14:textId="77777777" w:rsidR="00714FCB" w:rsidRDefault="00714FCB" w:rsidP="004F1DE5">
            <w:pPr>
              <w:rPr>
                <w:rFonts w:eastAsia="Times New Roman"/>
                <w:lang w:val="en-GB"/>
              </w:rPr>
            </w:pPr>
          </w:p>
          <w:p w14:paraId="75C2A878" w14:textId="77777777" w:rsidR="00714FCB" w:rsidRDefault="00714FCB" w:rsidP="004F1DE5">
            <w:pPr>
              <w:rPr>
                <w:rFonts w:eastAsia="Times New Roman"/>
                <w:lang w:val="en-GB"/>
              </w:rPr>
            </w:pPr>
          </w:p>
          <w:p w14:paraId="0F45209F" w14:textId="77777777" w:rsidR="00714FCB" w:rsidRDefault="00714FCB" w:rsidP="004F1DE5">
            <w:pPr>
              <w:rPr>
                <w:rFonts w:eastAsia="Times New Roman"/>
                <w:lang w:val="en-GB"/>
              </w:rPr>
            </w:pPr>
          </w:p>
          <w:p w14:paraId="4C619D44" w14:textId="77777777" w:rsidR="00714FCB" w:rsidRDefault="00714FCB" w:rsidP="004F1DE5">
            <w:pPr>
              <w:rPr>
                <w:rFonts w:eastAsia="Times New Roman"/>
                <w:lang w:val="en-GB"/>
              </w:rPr>
            </w:pPr>
          </w:p>
          <w:p w14:paraId="0D1BCF8E" w14:textId="77777777" w:rsidR="00714FCB" w:rsidRDefault="00714FCB" w:rsidP="004F1DE5">
            <w:pPr>
              <w:rPr>
                <w:rFonts w:eastAsia="Times New Roman"/>
                <w:lang w:val="en-GB"/>
              </w:rPr>
            </w:pPr>
          </w:p>
          <w:p w14:paraId="478DF3C0" w14:textId="77777777" w:rsidR="00714FCB" w:rsidRDefault="00714FCB" w:rsidP="004F1DE5">
            <w:pPr>
              <w:rPr>
                <w:rFonts w:eastAsia="Times New Roman"/>
                <w:lang w:val="en-GB"/>
              </w:rPr>
            </w:pPr>
          </w:p>
          <w:p w14:paraId="0E308202" w14:textId="77777777" w:rsidR="00FB63A1" w:rsidRDefault="00FB63A1" w:rsidP="004F1DE5">
            <w:pPr>
              <w:rPr>
                <w:rFonts w:eastAsia="Times New Roman"/>
                <w:lang w:val="en-GB"/>
              </w:rPr>
            </w:pPr>
          </w:p>
          <w:p w14:paraId="4FC3A437" w14:textId="77777777" w:rsidR="00FB63A1" w:rsidRDefault="00FB63A1" w:rsidP="004F1DE5">
            <w:pPr>
              <w:rPr>
                <w:rFonts w:eastAsia="Times New Roman"/>
                <w:lang w:val="en-GB"/>
              </w:rPr>
            </w:pPr>
          </w:p>
          <w:p w14:paraId="0239CE95" w14:textId="77777777" w:rsidR="00FB63A1" w:rsidRDefault="00FB63A1" w:rsidP="004F1DE5">
            <w:pPr>
              <w:rPr>
                <w:rFonts w:eastAsia="Times New Roman"/>
                <w:lang w:val="en-GB"/>
              </w:rPr>
            </w:pPr>
          </w:p>
          <w:p w14:paraId="48CD9011" w14:textId="77777777" w:rsidR="00FB63A1" w:rsidRDefault="00FB63A1" w:rsidP="004F1DE5">
            <w:pPr>
              <w:rPr>
                <w:rFonts w:eastAsia="Times New Roman"/>
                <w:lang w:val="en-GB"/>
              </w:rPr>
            </w:pPr>
          </w:p>
          <w:p w14:paraId="186AE781" w14:textId="77777777" w:rsidR="00FB63A1" w:rsidRDefault="00FB63A1" w:rsidP="004F1DE5">
            <w:pPr>
              <w:rPr>
                <w:rFonts w:eastAsia="Times New Roman"/>
                <w:lang w:val="en-GB"/>
              </w:rPr>
            </w:pPr>
          </w:p>
          <w:p w14:paraId="28BD5E66" w14:textId="77777777" w:rsidR="00FB63A1" w:rsidRDefault="00FB63A1" w:rsidP="004F1DE5">
            <w:pPr>
              <w:rPr>
                <w:rFonts w:eastAsia="Times New Roman"/>
                <w:lang w:val="en-GB"/>
              </w:rPr>
            </w:pPr>
          </w:p>
          <w:p w14:paraId="0D2F5A63" w14:textId="77777777" w:rsidR="00FB63A1" w:rsidRDefault="00FB63A1" w:rsidP="004F1DE5">
            <w:pPr>
              <w:rPr>
                <w:rFonts w:eastAsia="Times New Roman"/>
                <w:lang w:val="en-GB"/>
              </w:rPr>
            </w:pPr>
          </w:p>
          <w:p w14:paraId="7F61F7BD" w14:textId="77777777" w:rsidR="00FB63A1" w:rsidRDefault="00FB63A1" w:rsidP="004F1DE5">
            <w:pPr>
              <w:rPr>
                <w:rFonts w:eastAsia="Times New Roman"/>
                <w:lang w:val="en-GB"/>
              </w:rPr>
            </w:pPr>
          </w:p>
          <w:p w14:paraId="399D4050" w14:textId="77777777" w:rsidR="00FB63A1" w:rsidRDefault="00FB63A1" w:rsidP="004F1DE5">
            <w:pPr>
              <w:rPr>
                <w:rFonts w:eastAsia="Times New Roman"/>
                <w:lang w:val="en-GB"/>
              </w:rPr>
            </w:pPr>
          </w:p>
          <w:p w14:paraId="34DC0E2E" w14:textId="77777777" w:rsidR="00FB63A1" w:rsidRDefault="00FB63A1" w:rsidP="004F1DE5">
            <w:pPr>
              <w:rPr>
                <w:rFonts w:eastAsia="Times New Roman"/>
                <w:lang w:val="en-GB"/>
              </w:rPr>
            </w:pPr>
          </w:p>
          <w:p w14:paraId="48F53304" w14:textId="77777777" w:rsidR="00FB63A1" w:rsidRDefault="00FB63A1" w:rsidP="004F1DE5">
            <w:pPr>
              <w:rPr>
                <w:rFonts w:eastAsia="Times New Roman"/>
                <w:lang w:val="en-GB"/>
              </w:rPr>
            </w:pPr>
          </w:p>
          <w:p w14:paraId="48DFF070" w14:textId="77777777" w:rsidR="00FB63A1" w:rsidRDefault="00FB63A1" w:rsidP="004F1DE5">
            <w:pPr>
              <w:rPr>
                <w:rFonts w:eastAsia="Times New Roman"/>
                <w:lang w:val="en-GB"/>
              </w:rPr>
            </w:pPr>
          </w:p>
          <w:p w14:paraId="764235BC" w14:textId="77777777" w:rsidR="00FB63A1" w:rsidRDefault="00FB63A1" w:rsidP="004F1DE5">
            <w:pPr>
              <w:rPr>
                <w:rFonts w:eastAsia="Times New Roman"/>
                <w:lang w:val="en-GB"/>
              </w:rPr>
            </w:pPr>
          </w:p>
          <w:p w14:paraId="5858603F" w14:textId="77777777" w:rsidR="00FB63A1" w:rsidRDefault="00FB63A1" w:rsidP="004F1DE5">
            <w:pPr>
              <w:rPr>
                <w:rFonts w:eastAsia="Times New Roman"/>
                <w:lang w:val="en-GB"/>
              </w:rPr>
            </w:pPr>
          </w:p>
          <w:p w14:paraId="0171E5DA" w14:textId="77777777" w:rsidR="00FB63A1" w:rsidRDefault="00FB63A1" w:rsidP="004F1DE5">
            <w:pPr>
              <w:rPr>
                <w:rFonts w:eastAsia="Times New Roman"/>
                <w:lang w:val="en-GB"/>
              </w:rPr>
            </w:pPr>
          </w:p>
          <w:p w14:paraId="4BB45868" w14:textId="77777777" w:rsidR="00FB63A1" w:rsidRDefault="00FB63A1" w:rsidP="004F1DE5">
            <w:pPr>
              <w:rPr>
                <w:rFonts w:eastAsia="Times New Roman"/>
                <w:lang w:val="en-GB"/>
              </w:rPr>
            </w:pPr>
          </w:p>
          <w:p w14:paraId="68DC1378" w14:textId="77777777" w:rsidR="00FB63A1" w:rsidRDefault="00FB63A1" w:rsidP="004F1DE5">
            <w:pPr>
              <w:rPr>
                <w:rFonts w:eastAsia="Times New Roman"/>
                <w:lang w:val="en-GB"/>
              </w:rPr>
            </w:pPr>
          </w:p>
          <w:p w14:paraId="3DF897ED" w14:textId="5DE3D8E7" w:rsidR="004F1DE5" w:rsidRDefault="0090110F" w:rsidP="004F1DE5">
            <w:pPr>
              <w:rPr>
                <w:rFonts w:eastAsia="Times New Roman"/>
                <w:lang w:val="en-GB"/>
              </w:rPr>
            </w:pPr>
            <w:r>
              <w:rPr>
                <w:rFonts w:eastAsia="Times New Roman"/>
                <w:lang w:val="en-GB"/>
              </w:rPr>
              <w:t>No</w:t>
            </w:r>
            <w:r w:rsidR="002B344F">
              <w:rPr>
                <w:rFonts w:eastAsia="Times New Roman"/>
                <w:lang w:val="en-GB"/>
              </w:rPr>
              <w:t xml:space="preserve">, </w:t>
            </w:r>
            <w:r w:rsidR="00402DEA">
              <w:rPr>
                <w:rFonts w:eastAsia="Times New Roman"/>
                <w:lang w:val="en-GB"/>
              </w:rPr>
              <w:t>you do not allocate</w:t>
            </w:r>
            <w:r w:rsidR="00E45B96">
              <w:rPr>
                <w:rFonts w:eastAsia="Times New Roman"/>
                <w:lang w:val="en-GB"/>
              </w:rPr>
              <w:t xml:space="preserve"> a certain amount for STE</w:t>
            </w:r>
            <w:r w:rsidR="00D03577">
              <w:rPr>
                <w:rFonts w:eastAsia="Times New Roman"/>
                <w:lang w:val="en-GB"/>
              </w:rPr>
              <w:t xml:space="preserve">. It will not be evaluated as part of the price. </w:t>
            </w:r>
            <w:r w:rsidR="00FB63A1">
              <w:rPr>
                <w:rFonts w:eastAsia="Times New Roman"/>
                <w:lang w:val="en-GB"/>
              </w:rPr>
              <w:t>It will not be scored</w:t>
            </w:r>
            <w:r w:rsidR="00402DEA">
              <w:rPr>
                <w:rFonts w:eastAsia="Times New Roman"/>
                <w:lang w:val="en-GB"/>
              </w:rPr>
              <w:t>.</w:t>
            </w:r>
            <w:r w:rsidR="004F1DE5" w:rsidRPr="004F1DE5">
              <w:rPr>
                <w:rFonts w:eastAsia="Times New Roman"/>
                <w:lang w:val="en-GB"/>
              </w:rPr>
              <w:t> </w:t>
            </w:r>
          </w:p>
          <w:p w14:paraId="2DE8B74C" w14:textId="77777777" w:rsidR="00E66952" w:rsidRDefault="00E66952" w:rsidP="004F1DE5">
            <w:pPr>
              <w:rPr>
                <w:rFonts w:eastAsia="Times New Roman"/>
                <w:lang w:val="en-GB"/>
              </w:rPr>
            </w:pPr>
          </w:p>
          <w:p w14:paraId="6BBC5443" w14:textId="3AF0F68C" w:rsidR="00E66952" w:rsidRPr="004F1DE5" w:rsidRDefault="00E66952" w:rsidP="004F1DE5">
            <w:pPr>
              <w:rPr>
                <w:rFonts w:eastAsia="Times New Roman"/>
                <w:lang w:val="en-GB"/>
              </w:rPr>
            </w:pPr>
            <w:r>
              <w:rPr>
                <w:i/>
                <w:iCs/>
                <w:lang w:val="en-GB"/>
              </w:rPr>
              <w:t>The amount proposed for</w:t>
            </w:r>
            <w:r>
              <w:rPr>
                <w:rStyle w:val="Strong"/>
                <w:rFonts w:ascii="Calibri" w:hAnsi="Calibri" w:cs="Calibri"/>
                <w:i/>
                <w:iCs/>
                <w:lang w:val="en-GB"/>
              </w:rPr>
              <w:t> </w:t>
            </w:r>
            <w:r>
              <w:rPr>
                <w:i/>
                <w:iCs/>
                <w:lang w:val="en-GB"/>
              </w:rPr>
              <w:t xml:space="preserve">reimbursable costs for the implementation of the programme should be just a total amount, not detailed at this </w:t>
            </w:r>
            <w:r w:rsidR="001043D9">
              <w:rPr>
                <w:i/>
                <w:iCs/>
                <w:lang w:val="en-GB"/>
              </w:rPr>
              <w:t>stage.</w:t>
            </w:r>
          </w:p>
          <w:p w14:paraId="0A1CCAF0" w14:textId="088CBFF2" w:rsidR="004D7654" w:rsidRPr="00BC1E43" w:rsidRDefault="004D7654" w:rsidP="004D7654">
            <w:pPr>
              <w:rPr>
                <w:sz w:val="24"/>
                <w:szCs w:val="24"/>
                <w:lang w:val="en-GB"/>
              </w:rPr>
            </w:pPr>
          </w:p>
        </w:tc>
      </w:tr>
    </w:tbl>
    <w:p w14:paraId="7D6193D9" w14:textId="77777777" w:rsidR="007B2760" w:rsidRPr="00652449" w:rsidRDefault="007B2760">
      <w:pPr>
        <w:rPr>
          <w:rFonts w:eastAsia="Times New Roman"/>
          <w:lang w:val="en-GB"/>
        </w:rPr>
      </w:pPr>
    </w:p>
    <w:sectPr w:rsidR="007B2760" w:rsidRPr="00652449" w:rsidSect="00BF768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470"/>
    <w:multiLevelType w:val="hybridMultilevel"/>
    <w:tmpl w:val="0AFCACC8"/>
    <w:lvl w:ilvl="0" w:tplc="1560823E">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E75905"/>
    <w:multiLevelType w:val="hybridMultilevel"/>
    <w:tmpl w:val="666CAF04"/>
    <w:lvl w:ilvl="0" w:tplc="FFFFFFFF">
      <w:start w:val="1"/>
      <w:numFmt w:val="decimal"/>
      <w:lvlText w:val="%1."/>
      <w:lvlJc w:val="left"/>
      <w:pPr>
        <w:ind w:left="720" w:hanging="360"/>
      </w:pPr>
      <w:rPr>
        <w:sz w:val="23"/>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ED1739A"/>
    <w:multiLevelType w:val="multilevel"/>
    <w:tmpl w:val="586A3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27F264B"/>
    <w:multiLevelType w:val="multilevel"/>
    <w:tmpl w:val="586A3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57625DC"/>
    <w:multiLevelType w:val="multilevel"/>
    <w:tmpl w:val="586A3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831681A"/>
    <w:multiLevelType w:val="hybridMultilevel"/>
    <w:tmpl w:val="02A01E4A"/>
    <w:lvl w:ilvl="0" w:tplc="3A9246E8">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E102E28"/>
    <w:multiLevelType w:val="hybridMultilevel"/>
    <w:tmpl w:val="25102354"/>
    <w:lvl w:ilvl="0" w:tplc="3A9246E8">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E12679"/>
    <w:multiLevelType w:val="hybridMultilevel"/>
    <w:tmpl w:val="7EAC0E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8A1C47"/>
    <w:multiLevelType w:val="multilevel"/>
    <w:tmpl w:val="05B69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3C2278D"/>
    <w:multiLevelType w:val="hybridMultilevel"/>
    <w:tmpl w:val="A766607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A527F17"/>
    <w:multiLevelType w:val="multilevel"/>
    <w:tmpl w:val="586A3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ACC2B6F"/>
    <w:multiLevelType w:val="multilevel"/>
    <w:tmpl w:val="05B69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25A0DA0"/>
    <w:multiLevelType w:val="hybridMultilevel"/>
    <w:tmpl w:val="E96C7D5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54AB70AE"/>
    <w:multiLevelType w:val="multilevel"/>
    <w:tmpl w:val="586A3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A4A2539"/>
    <w:multiLevelType w:val="hybridMultilevel"/>
    <w:tmpl w:val="666CAF04"/>
    <w:lvl w:ilvl="0" w:tplc="0809000F">
      <w:start w:val="1"/>
      <w:numFmt w:val="decimal"/>
      <w:lvlText w:val="%1."/>
      <w:lvlJc w:val="left"/>
      <w:pPr>
        <w:ind w:left="720" w:hanging="360"/>
      </w:pPr>
      <w:rPr>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678529E"/>
    <w:multiLevelType w:val="multilevel"/>
    <w:tmpl w:val="586A3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5701F42"/>
    <w:multiLevelType w:val="hybridMultilevel"/>
    <w:tmpl w:val="EF949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431060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0530681">
    <w:abstractNumId w:val="5"/>
  </w:num>
  <w:num w:numId="3" w16cid:durableId="1619602328">
    <w:abstractNumId w:val="6"/>
  </w:num>
  <w:num w:numId="4" w16cid:durableId="26181379">
    <w:abstractNumId w:val="14"/>
  </w:num>
  <w:num w:numId="5" w16cid:durableId="1812363517">
    <w:abstractNumId w:val="1"/>
  </w:num>
  <w:num w:numId="6" w16cid:durableId="177837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5494981">
    <w:abstractNumId w:val="8"/>
  </w:num>
  <w:num w:numId="8" w16cid:durableId="9867875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3461191">
    <w:abstractNumId w:val="2"/>
  </w:num>
  <w:num w:numId="10" w16cid:durableId="841434550">
    <w:abstractNumId w:val="3"/>
  </w:num>
  <w:num w:numId="11" w16cid:durableId="354115809">
    <w:abstractNumId w:val="4"/>
  </w:num>
  <w:num w:numId="12" w16cid:durableId="1893882180">
    <w:abstractNumId w:val="10"/>
  </w:num>
  <w:num w:numId="13" w16cid:durableId="157502069">
    <w:abstractNumId w:val="13"/>
  </w:num>
  <w:num w:numId="14" w16cid:durableId="1884753875">
    <w:abstractNumId w:val="9"/>
  </w:num>
  <w:num w:numId="15" w16cid:durableId="15740458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98716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7399959">
    <w:abstractNumId w:val="0"/>
  </w:num>
  <w:num w:numId="18" w16cid:durableId="1848010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70"/>
    <w:rsid w:val="00001941"/>
    <w:rsid w:val="00005DB4"/>
    <w:rsid w:val="00021AF4"/>
    <w:rsid w:val="0002399D"/>
    <w:rsid w:val="00023C16"/>
    <w:rsid w:val="00031AEB"/>
    <w:rsid w:val="00035F4F"/>
    <w:rsid w:val="00036525"/>
    <w:rsid w:val="0005179E"/>
    <w:rsid w:val="00051D6C"/>
    <w:rsid w:val="00053E8F"/>
    <w:rsid w:val="000573B3"/>
    <w:rsid w:val="000661C9"/>
    <w:rsid w:val="00072C9A"/>
    <w:rsid w:val="00073E8E"/>
    <w:rsid w:val="0007780C"/>
    <w:rsid w:val="00081611"/>
    <w:rsid w:val="00083C02"/>
    <w:rsid w:val="000914F4"/>
    <w:rsid w:val="0009283A"/>
    <w:rsid w:val="00097C9E"/>
    <w:rsid w:val="000A17A5"/>
    <w:rsid w:val="000A18F2"/>
    <w:rsid w:val="000A2D71"/>
    <w:rsid w:val="000B58F5"/>
    <w:rsid w:val="000C19A2"/>
    <w:rsid w:val="000E2C12"/>
    <w:rsid w:val="000E5259"/>
    <w:rsid w:val="000F0341"/>
    <w:rsid w:val="000F0B79"/>
    <w:rsid w:val="000F1CEC"/>
    <w:rsid w:val="000F3AAE"/>
    <w:rsid w:val="000F6A16"/>
    <w:rsid w:val="001043D9"/>
    <w:rsid w:val="00111C0E"/>
    <w:rsid w:val="001171B8"/>
    <w:rsid w:val="00130B28"/>
    <w:rsid w:val="001366D0"/>
    <w:rsid w:val="001369A4"/>
    <w:rsid w:val="001419F4"/>
    <w:rsid w:val="00142593"/>
    <w:rsid w:val="00144130"/>
    <w:rsid w:val="00147A33"/>
    <w:rsid w:val="001654C4"/>
    <w:rsid w:val="001735E6"/>
    <w:rsid w:val="001736DB"/>
    <w:rsid w:val="00196198"/>
    <w:rsid w:val="001A43CE"/>
    <w:rsid w:val="001B4988"/>
    <w:rsid w:val="001B7A55"/>
    <w:rsid w:val="001B7DA8"/>
    <w:rsid w:val="001C08F2"/>
    <w:rsid w:val="001C1CF6"/>
    <w:rsid w:val="001C50F2"/>
    <w:rsid w:val="001D3833"/>
    <w:rsid w:val="001E4F54"/>
    <w:rsid w:val="001F4782"/>
    <w:rsid w:val="001F64AC"/>
    <w:rsid w:val="00201996"/>
    <w:rsid w:val="00203C78"/>
    <w:rsid w:val="00214D9D"/>
    <w:rsid w:val="00225DBF"/>
    <w:rsid w:val="002272EB"/>
    <w:rsid w:val="00240B56"/>
    <w:rsid w:val="0024425B"/>
    <w:rsid w:val="002456AE"/>
    <w:rsid w:val="002549DF"/>
    <w:rsid w:val="00255667"/>
    <w:rsid w:val="0025716A"/>
    <w:rsid w:val="002579E4"/>
    <w:rsid w:val="002616AF"/>
    <w:rsid w:val="0026696C"/>
    <w:rsid w:val="00266E84"/>
    <w:rsid w:val="002807D1"/>
    <w:rsid w:val="00280F18"/>
    <w:rsid w:val="00281EB8"/>
    <w:rsid w:val="00284A07"/>
    <w:rsid w:val="0029103B"/>
    <w:rsid w:val="00291047"/>
    <w:rsid w:val="0029406F"/>
    <w:rsid w:val="002A2054"/>
    <w:rsid w:val="002A4746"/>
    <w:rsid w:val="002A5EE9"/>
    <w:rsid w:val="002B344F"/>
    <w:rsid w:val="002B3D98"/>
    <w:rsid w:val="002B670C"/>
    <w:rsid w:val="002B6D2C"/>
    <w:rsid w:val="002C39D4"/>
    <w:rsid w:val="002C7011"/>
    <w:rsid w:val="002C7BC7"/>
    <w:rsid w:val="002D309B"/>
    <w:rsid w:val="002D5FF7"/>
    <w:rsid w:val="002E64C5"/>
    <w:rsid w:val="002F4A70"/>
    <w:rsid w:val="002F5A79"/>
    <w:rsid w:val="003025C8"/>
    <w:rsid w:val="00306895"/>
    <w:rsid w:val="00311AA3"/>
    <w:rsid w:val="00326773"/>
    <w:rsid w:val="00330F82"/>
    <w:rsid w:val="00333788"/>
    <w:rsid w:val="00341BF6"/>
    <w:rsid w:val="0034488D"/>
    <w:rsid w:val="00345F9C"/>
    <w:rsid w:val="003476F5"/>
    <w:rsid w:val="00353CAE"/>
    <w:rsid w:val="00362773"/>
    <w:rsid w:val="00373222"/>
    <w:rsid w:val="0038159A"/>
    <w:rsid w:val="00384095"/>
    <w:rsid w:val="003850FD"/>
    <w:rsid w:val="003A0BBA"/>
    <w:rsid w:val="003A0F6A"/>
    <w:rsid w:val="003A14FA"/>
    <w:rsid w:val="003A2590"/>
    <w:rsid w:val="003B2054"/>
    <w:rsid w:val="003B4611"/>
    <w:rsid w:val="003B7CB9"/>
    <w:rsid w:val="003C22D1"/>
    <w:rsid w:val="003C6D53"/>
    <w:rsid w:val="003D2B2E"/>
    <w:rsid w:val="003D2E85"/>
    <w:rsid w:val="003E3AB4"/>
    <w:rsid w:val="003E663D"/>
    <w:rsid w:val="00402DEA"/>
    <w:rsid w:val="00403222"/>
    <w:rsid w:val="00403C6B"/>
    <w:rsid w:val="00413A96"/>
    <w:rsid w:val="00423A41"/>
    <w:rsid w:val="00425A35"/>
    <w:rsid w:val="004270AA"/>
    <w:rsid w:val="0043439E"/>
    <w:rsid w:val="00442DBA"/>
    <w:rsid w:val="0044462E"/>
    <w:rsid w:val="0044516F"/>
    <w:rsid w:val="00464C99"/>
    <w:rsid w:val="004666BB"/>
    <w:rsid w:val="00466CBE"/>
    <w:rsid w:val="00472EF7"/>
    <w:rsid w:val="0047314C"/>
    <w:rsid w:val="0048030B"/>
    <w:rsid w:val="004814FB"/>
    <w:rsid w:val="004848DC"/>
    <w:rsid w:val="004927F0"/>
    <w:rsid w:val="004A700E"/>
    <w:rsid w:val="004B1D90"/>
    <w:rsid w:val="004C239F"/>
    <w:rsid w:val="004C716D"/>
    <w:rsid w:val="004D2281"/>
    <w:rsid w:val="004D3BA2"/>
    <w:rsid w:val="004D5AB9"/>
    <w:rsid w:val="004D6A95"/>
    <w:rsid w:val="004D72F8"/>
    <w:rsid w:val="004D7654"/>
    <w:rsid w:val="004E3CB1"/>
    <w:rsid w:val="004E4415"/>
    <w:rsid w:val="004E79B0"/>
    <w:rsid w:val="004F1DE5"/>
    <w:rsid w:val="004F7221"/>
    <w:rsid w:val="00500032"/>
    <w:rsid w:val="00502FC6"/>
    <w:rsid w:val="00503E7D"/>
    <w:rsid w:val="0051548C"/>
    <w:rsid w:val="0052115E"/>
    <w:rsid w:val="00525497"/>
    <w:rsid w:val="00531467"/>
    <w:rsid w:val="00532A6E"/>
    <w:rsid w:val="0053371E"/>
    <w:rsid w:val="005411C8"/>
    <w:rsid w:val="005430A5"/>
    <w:rsid w:val="005445ED"/>
    <w:rsid w:val="0056115F"/>
    <w:rsid w:val="00565333"/>
    <w:rsid w:val="00566292"/>
    <w:rsid w:val="005771E4"/>
    <w:rsid w:val="00596799"/>
    <w:rsid w:val="005A06B6"/>
    <w:rsid w:val="005A0E73"/>
    <w:rsid w:val="005A5A75"/>
    <w:rsid w:val="005A6EE8"/>
    <w:rsid w:val="005A7072"/>
    <w:rsid w:val="005B3B65"/>
    <w:rsid w:val="005C5CC1"/>
    <w:rsid w:val="005D2D0A"/>
    <w:rsid w:val="005D3F5E"/>
    <w:rsid w:val="005E3B45"/>
    <w:rsid w:val="005F0098"/>
    <w:rsid w:val="0060476B"/>
    <w:rsid w:val="006047F7"/>
    <w:rsid w:val="00607043"/>
    <w:rsid w:val="006076E0"/>
    <w:rsid w:val="0061151E"/>
    <w:rsid w:val="00611CC2"/>
    <w:rsid w:val="006148CB"/>
    <w:rsid w:val="0062143B"/>
    <w:rsid w:val="00625A18"/>
    <w:rsid w:val="00627307"/>
    <w:rsid w:val="006312FD"/>
    <w:rsid w:val="00644FB9"/>
    <w:rsid w:val="006521ED"/>
    <w:rsid w:val="00652449"/>
    <w:rsid w:val="00652F32"/>
    <w:rsid w:val="00654C2C"/>
    <w:rsid w:val="00657AB7"/>
    <w:rsid w:val="00660819"/>
    <w:rsid w:val="0066298B"/>
    <w:rsid w:val="00671107"/>
    <w:rsid w:val="0067496F"/>
    <w:rsid w:val="00674F77"/>
    <w:rsid w:val="00676C96"/>
    <w:rsid w:val="0068491E"/>
    <w:rsid w:val="00693740"/>
    <w:rsid w:val="00693D76"/>
    <w:rsid w:val="006A635A"/>
    <w:rsid w:val="006A7217"/>
    <w:rsid w:val="006B4250"/>
    <w:rsid w:val="006B5AAC"/>
    <w:rsid w:val="006C2379"/>
    <w:rsid w:val="006C30AB"/>
    <w:rsid w:val="006D5E5A"/>
    <w:rsid w:val="006D7FA4"/>
    <w:rsid w:val="006E17EF"/>
    <w:rsid w:val="006E18E7"/>
    <w:rsid w:val="006F6767"/>
    <w:rsid w:val="006F6B55"/>
    <w:rsid w:val="006F7448"/>
    <w:rsid w:val="007045C6"/>
    <w:rsid w:val="00706CF7"/>
    <w:rsid w:val="007133DD"/>
    <w:rsid w:val="00714FCB"/>
    <w:rsid w:val="007157D6"/>
    <w:rsid w:val="0071681B"/>
    <w:rsid w:val="007179CD"/>
    <w:rsid w:val="0073054A"/>
    <w:rsid w:val="007356E6"/>
    <w:rsid w:val="0074074F"/>
    <w:rsid w:val="00743DA0"/>
    <w:rsid w:val="00746A62"/>
    <w:rsid w:val="007505B8"/>
    <w:rsid w:val="00754D33"/>
    <w:rsid w:val="00771628"/>
    <w:rsid w:val="007816B6"/>
    <w:rsid w:val="007845B3"/>
    <w:rsid w:val="007878D5"/>
    <w:rsid w:val="007A12D0"/>
    <w:rsid w:val="007A3C1A"/>
    <w:rsid w:val="007B2760"/>
    <w:rsid w:val="007C310E"/>
    <w:rsid w:val="007C4FB2"/>
    <w:rsid w:val="007D11C0"/>
    <w:rsid w:val="007E31B6"/>
    <w:rsid w:val="007E6456"/>
    <w:rsid w:val="00806A81"/>
    <w:rsid w:val="0081230D"/>
    <w:rsid w:val="008127DA"/>
    <w:rsid w:val="00821012"/>
    <w:rsid w:val="00827568"/>
    <w:rsid w:val="00827CB0"/>
    <w:rsid w:val="00834236"/>
    <w:rsid w:val="008356F8"/>
    <w:rsid w:val="00836B27"/>
    <w:rsid w:val="00845292"/>
    <w:rsid w:val="008565EC"/>
    <w:rsid w:val="00864D4B"/>
    <w:rsid w:val="00866262"/>
    <w:rsid w:val="0087347F"/>
    <w:rsid w:val="00880A89"/>
    <w:rsid w:val="00890286"/>
    <w:rsid w:val="00893F34"/>
    <w:rsid w:val="008A235E"/>
    <w:rsid w:val="008A3566"/>
    <w:rsid w:val="008A7E3B"/>
    <w:rsid w:val="008B050D"/>
    <w:rsid w:val="008B575C"/>
    <w:rsid w:val="008B5E4A"/>
    <w:rsid w:val="008C485A"/>
    <w:rsid w:val="008C5E5B"/>
    <w:rsid w:val="008C74C3"/>
    <w:rsid w:val="008D16E3"/>
    <w:rsid w:val="008F0AA6"/>
    <w:rsid w:val="0090110F"/>
    <w:rsid w:val="009011A1"/>
    <w:rsid w:val="00905933"/>
    <w:rsid w:val="00916557"/>
    <w:rsid w:val="00916BB5"/>
    <w:rsid w:val="00932224"/>
    <w:rsid w:val="00937DDE"/>
    <w:rsid w:val="00960F6F"/>
    <w:rsid w:val="009624CC"/>
    <w:rsid w:val="009774FA"/>
    <w:rsid w:val="00981DBC"/>
    <w:rsid w:val="0099587D"/>
    <w:rsid w:val="009971ED"/>
    <w:rsid w:val="009A2810"/>
    <w:rsid w:val="009A7D0D"/>
    <w:rsid w:val="009C5601"/>
    <w:rsid w:val="009D14C3"/>
    <w:rsid w:val="009D3B1E"/>
    <w:rsid w:val="009D6C19"/>
    <w:rsid w:val="009D6C6D"/>
    <w:rsid w:val="009E1E42"/>
    <w:rsid w:val="009E25BE"/>
    <w:rsid w:val="009E6128"/>
    <w:rsid w:val="009E7FA7"/>
    <w:rsid w:val="00A03D30"/>
    <w:rsid w:val="00A06138"/>
    <w:rsid w:val="00A07FA7"/>
    <w:rsid w:val="00A10A8E"/>
    <w:rsid w:val="00A1116A"/>
    <w:rsid w:val="00A14868"/>
    <w:rsid w:val="00A14E82"/>
    <w:rsid w:val="00A33585"/>
    <w:rsid w:val="00A3452D"/>
    <w:rsid w:val="00A36BFB"/>
    <w:rsid w:val="00A37D70"/>
    <w:rsid w:val="00A42428"/>
    <w:rsid w:val="00A54A1C"/>
    <w:rsid w:val="00A61FA1"/>
    <w:rsid w:val="00A673AF"/>
    <w:rsid w:val="00A77C7F"/>
    <w:rsid w:val="00A83547"/>
    <w:rsid w:val="00A934BE"/>
    <w:rsid w:val="00A95DAB"/>
    <w:rsid w:val="00AA236E"/>
    <w:rsid w:val="00AA6864"/>
    <w:rsid w:val="00AB1FD5"/>
    <w:rsid w:val="00AB53F7"/>
    <w:rsid w:val="00AB57C8"/>
    <w:rsid w:val="00AC172D"/>
    <w:rsid w:val="00AC1CF8"/>
    <w:rsid w:val="00AE1B27"/>
    <w:rsid w:val="00AE3B9D"/>
    <w:rsid w:val="00AF18F8"/>
    <w:rsid w:val="00B05BB2"/>
    <w:rsid w:val="00B2324B"/>
    <w:rsid w:val="00B25278"/>
    <w:rsid w:val="00B32AB6"/>
    <w:rsid w:val="00B350AD"/>
    <w:rsid w:val="00B434D7"/>
    <w:rsid w:val="00B46EFB"/>
    <w:rsid w:val="00B51951"/>
    <w:rsid w:val="00B51BAD"/>
    <w:rsid w:val="00B53908"/>
    <w:rsid w:val="00B57E4B"/>
    <w:rsid w:val="00B57FEF"/>
    <w:rsid w:val="00B601F0"/>
    <w:rsid w:val="00B62765"/>
    <w:rsid w:val="00B6650C"/>
    <w:rsid w:val="00B72443"/>
    <w:rsid w:val="00B73259"/>
    <w:rsid w:val="00B77148"/>
    <w:rsid w:val="00B81902"/>
    <w:rsid w:val="00B81A78"/>
    <w:rsid w:val="00B85000"/>
    <w:rsid w:val="00B87E46"/>
    <w:rsid w:val="00B90AAE"/>
    <w:rsid w:val="00B95164"/>
    <w:rsid w:val="00BA0016"/>
    <w:rsid w:val="00BA01CD"/>
    <w:rsid w:val="00BA0625"/>
    <w:rsid w:val="00BA50EC"/>
    <w:rsid w:val="00BA7D04"/>
    <w:rsid w:val="00BB3659"/>
    <w:rsid w:val="00BB476C"/>
    <w:rsid w:val="00BC1E43"/>
    <w:rsid w:val="00BC1E6F"/>
    <w:rsid w:val="00BC60FF"/>
    <w:rsid w:val="00BC6277"/>
    <w:rsid w:val="00BC63E8"/>
    <w:rsid w:val="00BD1265"/>
    <w:rsid w:val="00BD3892"/>
    <w:rsid w:val="00BD3DCB"/>
    <w:rsid w:val="00BD41C1"/>
    <w:rsid w:val="00BF1CF6"/>
    <w:rsid w:val="00BF57D2"/>
    <w:rsid w:val="00BF6F45"/>
    <w:rsid w:val="00BF768B"/>
    <w:rsid w:val="00C03B20"/>
    <w:rsid w:val="00C10F9C"/>
    <w:rsid w:val="00C14F24"/>
    <w:rsid w:val="00C20587"/>
    <w:rsid w:val="00C20FBF"/>
    <w:rsid w:val="00C3472A"/>
    <w:rsid w:val="00C36327"/>
    <w:rsid w:val="00C37D47"/>
    <w:rsid w:val="00C4640A"/>
    <w:rsid w:val="00C610CD"/>
    <w:rsid w:val="00C65A6D"/>
    <w:rsid w:val="00C67465"/>
    <w:rsid w:val="00C729F6"/>
    <w:rsid w:val="00C80F10"/>
    <w:rsid w:val="00C83A05"/>
    <w:rsid w:val="00C83CF2"/>
    <w:rsid w:val="00C85E88"/>
    <w:rsid w:val="00C86BF1"/>
    <w:rsid w:val="00C952C1"/>
    <w:rsid w:val="00CA42DC"/>
    <w:rsid w:val="00CB0FBB"/>
    <w:rsid w:val="00CB33A5"/>
    <w:rsid w:val="00CB4FDD"/>
    <w:rsid w:val="00CC3725"/>
    <w:rsid w:val="00CD5FAD"/>
    <w:rsid w:val="00CF0B38"/>
    <w:rsid w:val="00CF3C54"/>
    <w:rsid w:val="00CF539E"/>
    <w:rsid w:val="00D0019A"/>
    <w:rsid w:val="00D00D33"/>
    <w:rsid w:val="00D03577"/>
    <w:rsid w:val="00D05F88"/>
    <w:rsid w:val="00D077C2"/>
    <w:rsid w:val="00D223BD"/>
    <w:rsid w:val="00D274A0"/>
    <w:rsid w:val="00D53CB1"/>
    <w:rsid w:val="00D6170A"/>
    <w:rsid w:val="00D7341D"/>
    <w:rsid w:val="00D768DC"/>
    <w:rsid w:val="00D82EBF"/>
    <w:rsid w:val="00D84F81"/>
    <w:rsid w:val="00DA6866"/>
    <w:rsid w:val="00DC3526"/>
    <w:rsid w:val="00DD2FF1"/>
    <w:rsid w:val="00DD4C95"/>
    <w:rsid w:val="00DD66B1"/>
    <w:rsid w:val="00DF03E1"/>
    <w:rsid w:val="00DF61FB"/>
    <w:rsid w:val="00E05396"/>
    <w:rsid w:val="00E07CB9"/>
    <w:rsid w:val="00E122CF"/>
    <w:rsid w:val="00E1241E"/>
    <w:rsid w:val="00E23C33"/>
    <w:rsid w:val="00E24C8A"/>
    <w:rsid w:val="00E3022B"/>
    <w:rsid w:val="00E31C03"/>
    <w:rsid w:val="00E33299"/>
    <w:rsid w:val="00E346A8"/>
    <w:rsid w:val="00E3739D"/>
    <w:rsid w:val="00E42E20"/>
    <w:rsid w:val="00E45B96"/>
    <w:rsid w:val="00E5106B"/>
    <w:rsid w:val="00E65747"/>
    <w:rsid w:val="00E66952"/>
    <w:rsid w:val="00E70B85"/>
    <w:rsid w:val="00E70BBA"/>
    <w:rsid w:val="00E730B5"/>
    <w:rsid w:val="00E75273"/>
    <w:rsid w:val="00E823B9"/>
    <w:rsid w:val="00E8562A"/>
    <w:rsid w:val="00E92F5D"/>
    <w:rsid w:val="00E932BC"/>
    <w:rsid w:val="00EA392F"/>
    <w:rsid w:val="00EA6D2B"/>
    <w:rsid w:val="00EC559E"/>
    <w:rsid w:val="00EC74E9"/>
    <w:rsid w:val="00EE2759"/>
    <w:rsid w:val="00EE56CE"/>
    <w:rsid w:val="00EE7172"/>
    <w:rsid w:val="00EF0B66"/>
    <w:rsid w:val="00EF18D2"/>
    <w:rsid w:val="00EF30D1"/>
    <w:rsid w:val="00EF6AEE"/>
    <w:rsid w:val="00F12766"/>
    <w:rsid w:val="00F20BE4"/>
    <w:rsid w:val="00F240F8"/>
    <w:rsid w:val="00F3010A"/>
    <w:rsid w:val="00F43D49"/>
    <w:rsid w:val="00F537BB"/>
    <w:rsid w:val="00F54A11"/>
    <w:rsid w:val="00F5543C"/>
    <w:rsid w:val="00F55A08"/>
    <w:rsid w:val="00F67782"/>
    <w:rsid w:val="00F73F35"/>
    <w:rsid w:val="00F74623"/>
    <w:rsid w:val="00F74D5E"/>
    <w:rsid w:val="00F7643C"/>
    <w:rsid w:val="00F90A45"/>
    <w:rsid w:val="00F90EE9"/>
    <w:rsid w:val="00F97663"/>
    <w:rsid w:val="00FA11F8"/>
    <w:rsid w:val="00FA4182"/>
    <w:rsid w:val="00FB0E21"/>
    <w:rsid w:val="00FB132E"/>
    <w:rsid w:val="00FB63A1"/>
    <w:rsid w:val="00FC3733"/>
    <w:rsid w:val="00FE45A0"/>
    <w:rsid w:val="00FE6ABF"/>
    <w:rsid w:val="00FE7709"/>
    <w:rsid w:val="00FF01B2"/>
    <w:rsid w:val="00FF566E"/>
    <w:rsid w:val="00FF76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35F3"/>
  <w15:chartTrackingRefBased/>
  <w15:docId w15:val="{392BDC40-2ADE-4D37-9E14-4F337533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t">
    <w:name w:val="fält"/>
    <w:basedOn w:val="DefaultParagraphFont"/>
    <w:rsid w:val="00306895"/>
    <w:rPr>
      <w:noProof w:val="0"/>
      <w:color w:val="auto"/>
      <w:lang w:val="sv-SE"/>
    </w:rPr>
  </w:style>
  <w:style w:type="paragraph" w:customStyle="1" w:styleId="elementtoproof">
    <w:name w:val="elementtoproof"/>
    <w:basedOn w:val="Normal"/>
    <w:rsid w:val="006521ED"/>
    <w:pPr>
      <w:spacing w:after="0" w:line="240" w:lineRule="auto"/>
    </w:pPr>
    <w:rPr>
      <w:rFonts w:ascii="Calibri" w:hAnsi="Calibri" w:cs="Calibri"/>
      <w:kern w:val="0"/>
      <w:lang w:eastAsia="fr-FR"/>
      <w14:ligatures w14:val="none"/>
    </w:rPr>
  </w:style>
  <w:style w:type="character" w:styleId="Hyperlink">
    <w:name w:val="Hyperlink"/>
    <w:basedOn w:val="DefaultParagraphFont"/>
    <w:uiPriority w:val="99"/>
    <w:semiHidden/>
    <w:unhideWhenUsed/>
    <w:rsid w:val="005C5CC1"/>
    <w:rPr>
      <w:color w:val="0563C1"/>
      <w:u w:val="single"/>
    </w:rPr>
  </w:style>
  <w:style w:type="paragraph" w:styleId="ListParagraph">
    <w:name w:val="List Paragraph"/>
    <w:basedOn w:val="Normal"/>
    <w:uiPriority w:val="34"/>
    <w:qFormat/>
    <w:rsid w:val="005C5CC1"/>
    <w:pPr>
      <w:spacing w:line="252" w:lineRule="auto"/>
      <w:ind w:left="720"/>
      <w:contextualSpacing/>
    </w:pPr>
    <w:rPr>
      <w:rFonts w:ascii="Calibri" w:hAnsi="Calibri" w:cs="Calibri"/>
      <w:kern w:val="0"/>
      <w:lang w:eastAsia="fr-FR"/>
    </w:rPr>
  </w:style>
  <w:style w:type="paragraph" w:customStyle="1" w:styleId="Default">
    <w:name w:val="Default"/>
    <w:basedOn w:val="Normal"/>
    <w:rsid w:val="005C5CC1"/>
    <w:pPr>
      <w:autoSpaceDE w:val="0"/>
      <w:autoSpaceDN w:val="0"/>
      <w:spacing w:after="0" w:line="240" w:lineRule="auto"/>
    </w:pPr>
    <w:rPr>
      <w:rFonts w:ascii="Arial" w:hAnsi="Arial" w:cs="Arial"/>
      <w:color w:val="000000"/>
      <w:kern w:val="0"/>
      <w:sz w:val="24"/>
      <w:szCs w:val="24"/>
      <w:lang w:eastAsia="fr-FR"/>
      <w14:ligatures w14:val="none"/>
    </w:rPr>
  </w:style>
  <w:style w:type="character" w:customStyle="1" w:styleId="ui-provider">
    <w:name w:val="ui-provider"/>
    <w:basedOn w:val="DefaultParagraphFont"/>
    <w:rsid w:val="00932224"/>
  </w:style>
  <w:style w:type="paragraph" w:styleId="Revision">
    <w:name w:val="Revision"/>
    <w:hidden/>
    <w:uiPriority w:val="99"/>
    <w:semiHidden/>
    <w:rsid w:val="00C610CD"/>
    <w:pPr>
      <w:spacing w:after="0" w:line="240" w:lineRule="auto"/>
    </w:pPr>
  </w:style>
  <w:style w:type="paragraph" w:customStyle="1" w:styleId="xelementtoproof">
    <w:name w:val="xelementtoproof"/>
    <w:basedOn w:val="Normal"/>
    <w:rsid w:val="008B050D"/>
    <w:pPr>
      <w:spacing w:after="0" w:line="240" w:lineRule="auto"/>
    </w:pPr>
    <w:rPr>
      <w:rFonts w:ascii="Calibri" w:hAnsi="Calibri" w:cs="Calibri"/>
      <w:kern w:val="0"/>
      <w:lang w:eastAsia="fr-FR"/>
      <w14:ligatures w14:val="none"/>
    </w:rPr>
  </w:style>
  <w:style w:type="character" w:customStyle="1" w:styleId="contentpasted0">
    <w:name w:val="contentpasted0"/>
    <w:basedOn w:val="DefaultParagraphFont"/>
    <w:rsid w:val="008B050D"/>
  </w:style>
  <w:style w:type="character" w:customStyle="1" w:styleId="contentpasted1">
    <w:name w:val="contentpasted1"/>
    <w:basedOn w:val="DefaultParagraphFont"/>
    <w:rsid w:val="008B050D"/>
  </w:style>
  <w:style w:type="paragraph" w:styleId="NormalWeb">
    <w:name w:val="Normal (Web)"/>
    <w:basedOn w:val="Normal"/>
    <w:uiPriority w:val="99"/>
    <w:semiHidden/>
    <w:unhideWhenUsed/>
    <w:rsid w:val="0090110F"/>
    <w:pPr>
      <w:spacing w:before="100" w:beforeAutospacing="1" w:after="100" w:afterAutospacing="1" w:line="240" w:lineRule="auto"/>
    </w:pPr>
    <w:rPr>
      <w:rFonts w:ascii="Aptos" w:hAnsi="Aptos" w:cs="Aptos"/>
      <w:kern w:val="0"/>
      <w:sz w:val="24"/>
      <w:szCs w:val="24"/>
      <w:lang w:eastAsia="fr-FR"/>
      <w14:ligatures w14:val="none"/>
    </w:rPr>
  </w:style>
  <w:style w:type="character" w:styleId="Strong">
    <w:name w:val="Strong"/>
    <w:basedOn w:val="DefaultParagraphFont"/>
    <w:uiPriority w:val="22"/>
    <w:qFormat/>
    <w:rsid w:val="00901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7753">
      <w:bodyDiv w:val="1"/>
      <w:marLeft w:val="0"/>
      <w:marRight w:val="0"/>
      <w:marTop w:val="0"/>
      <w:marBottom w:val="0"/>
      <w:divBdr>
        <w:top w:val="none" w:sz="0" w:space="0" w:color="auto"/>
        <w:left w:val="none" w:sz="0" w:space="0" w:color="auto"/>
        <w:bottom w:val="none" w:sz="0" w:space="0" w:color="auto"/>
        <w:right w:val="none" w:sz="0" w:space="0" w:color="auto"/>
      </w:divBdr>
    </w:div>
    <w:div w:id="116487468">
      <w:bodyDiv w:val="1"/>
      <w:marLeft w:val="0"/>
      <w:marRight w:val="0"/>
      <w:marTop w:val="0"/>
      <w:marBottom w:val="0"/>
      <w:divBdr>
        <w:top w:val="none" w:sz="0" w:space="0" w:color="auto"/>
        <w:left w:val="none" w:sz="0" w:space="0" w:color="auto"/>
        <w:bottom w:val="none" w:sz="0" w:space="0" w:color="auto"/>
        <w:right w:val="none" w:sz="0" w:space="0" w:color="auto"/>
      </w:divBdr>
    </w:div>
    <w:div w:id="159123794">
      <w:bodyDiv w:val="1"/>
      <w:marLeft w:val="0"/>
      <w:marRight w:val="0"/>
      <w:marTop w:val="0"/>
      <w:marBottom w:val="0"/>
      <w:divBdr>
        <w:top w:val="none" w:sz="0" w:space="0" w:color="auto"/>
        <w:left w:val="none" w:sz="0" w:space="0" w:color="auto"/>
        <w:bottom w:val="none" w:sz="0" w:space="0" w:color="auto"/>
        <w:right w:val="none" w:sz="0" w:space="0" w:color="auto"/>
      </w:divBdr>
    </w:div>
    <w:div w:id="225074568">
      <w:bodyDiv w:val="1"/>
      <w:marLeft w:val="0"/>
      <w:marRight w:val="0"/>
      <w:marTop w:val="0"/>
      <w:marBottom w:val="0"/>
      <w:divBdr>
        <w:top w:val="none" w:sz="0" w:space="0" w:color="auto"/>
        <w:left w:val="none" w:sz="0" w:space="0" w:color="auto"/>
        <w:bottom w:val="none" w:sz="0" w:space="0" w:color="auto"/>
        <w:right w:val="none" w:sz="0" w:space="0" w:color="auto"/>
      </w:divBdr>
    </w:div>
    <w:div w:id="343290252">
      <w:bodyDiv w:val="1"/>
      <w:marLeft w:val="0"/>
      <w:marRight w:val="0"/>
      <w:marTop w:val="0"/>
      <w:marBottom w:val="0"/>
      <w:divBdr>
        <w:top w:val="none" w:sz="0" w:space="0" w:color="auto"/>
        <w:left w:val="none" w:sz="0" w:space="0" w:color="auto"/>
        <w:bottom w:val="none" w:sz="0" w:space="0" w:color="auto"/>
        <w:right w:val="none" w:sz="0" w:space="0" w:color="auto"/>
      </w:divBdr>
    </w:div>
    <w:div w:id="420682799">
      <w:bodyDiv w:val="1"/>
      <w:marLeft w:val="0"/>
      <w:marRight w:val="0"/>
      <w:marTop w:val="0"/>
      <w:marBottom w:val="0"/>
      <w:divBdr>
        <w:top w:val="none" w:sz="0" w:space="0" w:color="auto"/>
        <w:left w:val="none" w:sz="0" w:space="0" w:color="auto"/>
        <w:bottom w:val="none" w:sz="0" w:space="0" w:color="auto"/>
        <w:right w:val="none" w:sz="0" w:space="0" w:color="auto"/>
      </w:divBdr>
    </w:div>
    <w:div w:id="488715109">
      <w:bodyDiv w:val="1"/>
      <w:marLeft w:val="0"/>
      <w:marRight w:val="0"/>
      <w:marTop w:val="0"/>
      <w:marBottom w:val="0"/>
      <w:divBdr>
        <w:top w:val="none" w:sz="0" w:space="0" w:color="auto"/>
        <w:left w:val="none" w:sz="0" w:space="0" w:color="auto"/>
        <w:bottom w:val="none" w:sz="0" w:space="0" w:color="auto"/>
        <w:right w:val="none" w:sz="0" w:space="0" w:color="auto"/>
      </w:divBdr>
    </w:div>
    <w:div w:id="489102980">
      <w:bodyDiv w:val="1"/>
      <w:marLeft w:val="0"/>
      <w:marRight w:val="0"/>
      <w:marTop w:val="0"/>
      <w:marBottom w:val="0"/>
      <w:divBdr>
        <w:top w:val="none" w:sz="0" w:space="0" w:color="auto"/>
        <w:left w:val="none" w:sz="0" w:space="0" w:color="auto"/>
        <w:bottom w:val="none" w:sz="0" w:space="0" w:color="auto"/>
        <w:right w:val="none" w:sz="0" w:space="0" w:color="auto"/>
      </w:divBdr>
    </w:div>
    <w:div w:id="501317419">
      <w:bodyDiv w:val="1"/>
      <w:marLeft w:val="0"/>
      <w:marRight w:val="0"/>
      <w:marTop w:val="0"/>
      <w:marBottom w:val="0"/>
      <w:divBdr>
        <w:top w:val="none" w:sz="0" w:space="0" w:color="auto"/>
        <w:left w:val="none" w:sz="0" w:space="0" w:color="auto"/>
        <w:bottom w:val="none" w:sz="0" w:space="0" w:color="auto"/>
        <w:right w:val="none" w:sz="0" w:space="0" w:color="auto"/>
      </w:divBdr>
    </w:div>
    <w:div w:id="503782099">
      <w:bodyDiv w:val="1"/>
      <w:marLeft w:val="0"/>
      <w:marRight w:val="0"/>
      <w:marTop w:val="0"/>
      <w:marBottom w:val="0"/>
      <w:divBdr>
        <w:top w:val="none" w:sz="0" w:space="0" w:color="auto"/>
        <w:left w:val="none" w:sz="0" w:space="0" w:color="auto"/>
        <w:bottom w:val="none" w:sz="0" w:space="0" w:color="auto"/>
        <w:right w:val="none" w:sz="0" w:space="0" w:color="auto"/>
      </w:divBdr>
    </w:div>
    <w:div w:id="624045226">
      <w:bodyDiv w:val="1"/>
      <w:marLeft w:val="0"/>
      <w:marRight w:val="0"/>
      <w:marTop w:val="0"/>
      <w:marBottom w:val="0"/>
      <w:divBdr>
        <w:top w:val="none" w:sz="0" w:space="0" w:color="auto"/>
        <w:left w:val="none" w:sz="0" w:space="0" w:color="auto"/>
        <w:bottom w:val="none" w:sz="0" w:space="0" w:color="auto"/>
        <w:right w:val="none" w:sz="0" w:space="0" w:color="auto"/>
      </w:divBdr>
    </w:div>
    <w:div w:id="647586415">
      <w:bodyDiv w:val="1"/>
      <w:marLeft w:val="0"/>
      <w:marRight w:val="0"/>
      <w:marTop w:val="0"/>
      <w:marBottom w:val="0"/>
      <w:divBdr>
        <w:top w:val="none" w:sz="0" w:space="0" w:color="auto"/>
        <w:left w:val="none" w:sz="0" w:space="0" w:color="auto"/>
        <w:bottom w:val="none" w:sz="0" w:space="0" w:color="auto"/>
        <w:right w:val="none" w:sz="0" w:space="0" w:color="auto"/>
      </w:divBdr>
    </w:div>
    <w:div w:id="651832209">
      <w:bodyDiv w:val="1"/>
      <w:marLeft w:val="0"/>
      <w:marRight w:val="0"/>
      <w:marTop w:val="0"/>
      <w:marBottom w:val="0"/>
      <w:divBdr>
        <w:top w:val="none" w:sz="0" w:space="0" w:color="auto"/>
        <w:left w:val="none" w:sz="0" w:space="0" w:color="auto"/>
        <w:bottom w:val="none" w:sz="0" w:space="0" w:color="auto"/>
        <w:right w:val="none" w:sz="0" w:space="0" w:color="auto"/>
      </w:divBdr>
    </w:div>
    <w:div w:id="928730248">
      <w:bodyDiv w:val="1"/>
      <w:marLeft w:val="0"/>
      <w:marRight w:val="0"/>
      <w:marTop w:val="0"/>
      <w:marBottom w:val="0"/>
      <w:divBdr>
        <w:top w:val="none" w:sz="0" w:space="0" w:color="auto"/>
        <w:left w:val="none" w:sz="0" w:space="0" w:color="auto"/>
        <w:bottom w:val="none" w:sz="0" w:space="0" w:color="auto"/>
        <w:right w:val="none" w:sz="0" w:space="0" w:color="auto"/>
      </w:divBdr>
    </w:div>
    <w:div w:id="957301592">
      <w:bodyDiv w:val="1"/>
      <w:marLeft w:val="0"/>
      <w:marRight w:val="0"/>
      <w:marTop w:val="0"/>
      <w:marBottom w:val="0"/>
      <w:divBdr>
        <w:top w:val="none" w:sz="0" w:space="0" w:color="auto"/>
        <w:left w:val="none" w:sz="0" w:space="0" w:color="auto"/>
        <w:bottom w:val="none" w:sz="0" w:space="0" w:color="auto"/>
        <w:right w:val="none" w:sz="0" w:space="0" w:color="auto"/>
      </w:divBdr>
    </w:div>
    <w:div w:id="1083062060">
      <w:bodyDiv w:val="1"/>
      <w:marLeft w:val="0"/>
      <w:marRight w:val="0"/>
      <w:marTop w:val="0"/>
      <w:marBottom w:val="0"/>
      <w:divBdr>
        <w:top w:val="none" w:sz="0" w:space="0" w:color="auto"/>
        <w:left w:val="none" w:sz="0" w:space="0" w:color="auto"/>
        <w:bottom w:val="none" w:sz="0" w:space="0" w:color="auto"/>
        <w:right w:val="none" w:sz="0" w:space="0" w:color="auto"/>
      </w:divBdr>
    </w:div>
    <w:div w:id="1120874729">
      <w:bodyDiv w:val="1"/>
      <w:marLeft w:val="0"/>
      <w:marRight w:val="0"/>
      <w:marTop w:val="0"/>
      <w:marBottom w:val="0"/>
      <w:divBdr>
        <w:top w:val="none" w:sz="0" w:space="0" w:color="auto"/>
        <w:left w:val="none" w:sz="0" w:space="0" w:color="auto"/>
        <w:bottom w:val="none" w:sz="0" w:space="0" w:color="auto"/>
        <w:right w:val="none" w:sz="0" w:space="0" w:color="auto"/>
      </w:divBdr>
    </w:div>
    <w:div w:id="1121148742">
      <w:bodyDiv w:val="1"/>
      <w:marLeft w:val="0"/>
      <w:marRight w:val="0"/>
      <w:marTop w:val="0"/>
      <w:marBottom w:val="0"/>
      <w:divBdr>
        <w:top w:val="none" w:sz="0" w:space="0" w:color="auto"/>
        <w:left w:val="none" w:sz="0" w:space="0" w:color="auto"/>
        <w:bottom w:val="none" w:sz="0" w:space="0" w:color="auto"/>
        <w:right w:val="none" w:sz="0" w:space="0" w:color="auto"/>
      </w:divBdr>
    </w:div>
    <w:div w:id="1172185324">
      <w:bodyDiv w:val="1"/>
      <w:marLeft w:val="0"/>
      <w:marRight w:val="0"/>
      <w:marTop w:val="0"/>
      <w:marBottom w:val="0"/>
      <w:divBdr>
        <w:top w:val="none" w:sz="0" w:space="0" w:color="auto"/>
        <w:left w:val="none" w:sz="0" w:space="0" w:color="auto"/>
        <w:bottom w:val="none" w:sz="0" w:space="0" w:color="auto"/>
        <w:right w:val="none" w:sz="0" w:space="0" w:color="auto"/>
      </w:divBdr>
    </w:div>
    <w:div w:id="1229877228">
      <w:bodyDiv w:val="1"/>
      <w:marLeft w:val="0"/>
      <w:marRight w:val="0"/>
      <w:marTop w:val="0"/>
      <w:marBottom w:val="0"/>
      <w:divBdr>
        <w:top w:val="none" w:sz="0" w:space="0" w:color="auto"/>
        <w:left w:val="none" w:sz="0" w:space="0" w:color="auto"/>
        <w:bottom w:val="none" w:sz="0" w:space="0" w:color="auto"/>
        <w:right w:val="none" w:sz="0" w:space="0" w:color="auto"/>
      </w:divBdr>
    </w:div>
    <w:div w:id="1259675889">
      <w:bodyDiv w:val="1"/>
      <w:marLeft w:val="0"/>
      <w:marRight w:val="0"/>
      <w:marTop w:val="0"/>
      <w:marBottom w:val="0"/>
      <w:divBdr>
        <w:top w:val="none" w:sz="0" w:space="0" w:color="auto"/>
        <w:left w:val="none" w:sz="0" w:space="0" w:color="auto"/>
        <w:bottom w:val="none" w:sz="0" w:space="0" w:color="auto"/>
        <w:right w:val="none" w:sz="0" w:space="0" w:color="auto"/>
      </w:divBdr>
    </w:div>
    <w:div w:id="1399589665">
      <w:bodyDiv w:val="1"/>
      <w:marLeft w:val="0"/>
      <w:marRight w:val="0"/>
      <w:marTop w:val="0"/>
      <w:marBottom w:val="0"/>
      <w:divBdr>
        <w:top w:val="none" w:sz="0" w:space="0" w:color="auto"/>
        <w:left w:val="none" w:sz="0" w:space="0" w:color="auto"/>
        <w:bottom w:val="none" w:sz="0" w:space="0" w:color="auto"/>
        <w:right w:val="none" w:sz="0" w:space="0" w:color="auto"/>
      </w:divBdr>
    </w:div>
    <w:div w:id="1696690536">
      <w:bodyDiv w:val="1"/>
      <w:marLeft w:val="0"/>
      <w:marRight w:val="0"/>
      <w:marTop w:val="0"/>
      <w:marBottom w:val="0"/>
      <w:divBdr>
        <w:top w:val="none" w:sz="0" w:space="0" w:color="auto"/>
        <w:left w:val="none" w:sz="0" w:space="0" w:color="auto"/>
        <w:bottom w:val="none" w:sz="0" w:space="0" w:color="auto"/>
        <w:right w:val="none" w:sz="0" w:space="0" w:color="auto"/>
      </w:divBdr>
    </w:div>
    <w:div w:id="1713580962">
      <w:bodyDiv w:val="1"/>
      <w:marLeft w:val="0"/>
      <w:marRight w:val="0"/>
      <w:marTop w:val="0"/>
      <w:marBottom w:val="0"/>
      <w:divBdr>
        <w:top w:val="none" w:sz="0" w:space="0" w:color="auto"/>
        <w:left w:val="none" w:sz="0" w:space="0" w:color="auto"/>
        <w:bottom w:val="none" w:sz="0" w:space="0" w:color="auto"/>
        <w:right w:val="none" w:sz="0" w:space="0" w:color="auto"/>
      </w:divBdr>
    </w:div>
    <w:div w:id="1730103987">
      <w:bodyDiv w:val="1"/>
      <w:marLeft w:val="0"/>
      <w:marRight w:val="0"/>
      <w:marTop w:val="0"/>
      <w:marBottom w:val="0"/>
      <w:divBdr>
        <w:top w:val="none" w:sz="0" w:space="0" w:color="auto"/>
        <w:left w:val="none" w:sz="0" w:space="0" w:color="auto"/>
        <w:bottom w:val="none" w:sz="0" w:space="0" w:color="auto"/>
        <w:right w:val="none" w:sz="0" w:space="0" w:color="auto"/>
      </w:divBdr>
    </w:div>
    <w:div w:id="1740901223">
      <w:bodyDiv w:val="1"/>
      <w:marLeft w:val="0"/>
      <w:marRight w:val="0"/>
      <w:marTop w:val="0"/>
      <w:marBottom w:val="0"/>
      <w:divBdr>
        <w:top w:val="none" w:sz="0" w:space="0" w:color="auto"/>
        <w:left w:val="none" w:sz="0" w:space="0" w:color="auto"/>
        <w:bottom w:val="none" w:sz="0" w:space="0" w:color="auto"/>
        <w:right w:val="none" w:sz="0" w:space="0" w:color="auto"/>
      </w:divBdr>
    </w:div>
    <w:div w:id="1816146756">
      <w:bodyDiv w:val="1"/>
      <w:marLeft w:val="0"/>
      <w:marRight w:val="0"/>
      <w:marTop w:val="0"/>
      <w:marBottom w:val="0"/>
      <w:divBdr>
        <w:top w:val="none" w:sz="0" w:space="0" w:color="auto"/>
        <w:left w:val="none" w:sz="0" w:space="0" w:color="auto"/>
        <w:bottom w:val="none" w:sz="0" w:space="0" w:color="auto"/>
        <w:right w:val="none" w:sz="0" w:space="0" w:color="auto"/>
      </w:divBdr>
    </w:div>
    <w:div w:id="1851139260">
      <w:bodyDiv w:val="1"/>
      <w:marLeft w:val="0"/>
      <w:marRight w:val="0"/>
      <w:marTop w:val="0"/>
      <w:marBottom w:val="0"/>
      <w:divBdr>
        <w:top w:val="none" w:sz="0" w:space="0" w:color="auto"/>
        <w:left w:val="none" w:sz="0" w:space="0" w:color="auto"/>
        <w:bottom w:val="none" w:sz="0" w:space="0" w:color="auto"/>
        <w:right w:val="none" w:sz="0" w:space="0" w:color="auto"/>
      </w:divBdr>
    </w:div>
    <w:div w:id="1856118388">
      <w:bodyDiv w:val="1"/>
      <w:marLeft w:val="0"/>
      <w:marRight w:val="0"/>
      <w:marTop w:val="0"/>
      <w:marBottom w:val="0"/>
      <w:divBdr>
        <w:top w:val="none" w:sz="0" w:space="0" w:color="auto"/>
        <w:left w:val="none" w:sz="0" w:space="0" w:color="auto"/>
        <w:bottom w:val="none" w:sz="0" w:space="0" w:color="auto"/>
        <w:right w:val="none" w:sz="0" w:space="0" w:color="auto"/>
      </w:divBdr>
    </w:div>
    <w:div w:id="1880166313">
      <w:bodyDiv w:val="1"/>
      <w:marLeft w:val="0"/>
      <w:marRight w:val="0"/>
      <w:marTop w:val="0"/>
      <w:marBottom w:val="0"/>
      <w:divBdr>
        <w:top w:val="none" w:sz="0" w:space="0" w:color="auto"/>
        <w:left w:val="none" w:sz="0" w:space="0" w:color="auto"/>
        <w:bottom w:val="none" w:sz="0" w:space="0" w:color="auto"/>
        <w:right w:val="none" w:sz="0" w:space="0" w:color="auto"/>
      </w:divBdr>
    </w:div>
    <w:div w:id="1962763776">
      <w:bodyDiv w:val="1"/>
      <w:marLeft w:val="0"/>
      <w:marRight w:val="0"/>
      <w:marTop w:val="0"/>
      <w:marBottom w:val="0"/>
      <w:divBdr>
        <w:top w:val="none" w:sz="0" w:space="0" w:color="auto"/>
        <w:left w:val="none" w:sz="0" w:space="0" w:color="auto"/>
        <w:bottom w:val="none" w:sz="0" w:space="0" w:color="auto"/>
        <w:right w:val="none" w:sz="0" w:space="0" w:color="auto"/>
      </w:divBdr>
    </w:div>
    <w:div w:id="2088728510">
      <w:bodyDiv w:val="1"/>
      <w:marLeft w:val="0"/>
      <w:marRight w:val="0"/>
      <w:marTop w:val="0"/>
      <w:marBottom w:val="0"/>
      <w:divBdr>
        <w:top w:val="none" w:sz="0" w:space="0" w:color="auto"/>
        <w:left w:val="none" w:sz="0" w:space="0" w:color="auto"/>
        <w:bottom w:val="none" w:sz="0" w:space="0" w:color="auto"/>
        <w:right w:val="none" w:sz="0" w:space="0" w:color="auto"/>
      </w:divBdr>
    </w:div>
    <w:div w:id="211112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56684-2FA3-41AC-B273-9158E19C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Breyer</dc:creator>
  <cp:keywords/>
  <dc:description/>
  <cp:lastModifiedBy>Linda Gjermani</cp:lastModifiedBy>
  <cp:revision>2</cp:revision>
  <cp:lastPrinted>2024-01-09T09:44:00Z</cp:lastPrinted>
  <dcterms:created xsi:type="dcterms:W3CDTF">2024-01-15T10:41:00Z</dcterms:created>
  <dcterms:modified xsi:type="dcterms:W3CDTF">2024-01-15T10:41:00Z</dcterms:modified>
</cp:coreProperties>
</file>