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9715" w14:textId="1C551653" w:rsidR="0004442C" w:rsidRPr="001D45AB" w:rsidRDefault="0004442C" w:rsidP="00F0088D">
      <w:pPr>
        <w:spacing w:after="120"/>
        <w:jc w:val="center"/>
        <w:rPr>
          <w:sz w:val="22"/>
          <w:szCs w:val="22"/>
          <w:lang w:val="en-US"/>
        </w:rPr>
      </w:pPr>
      <w:r w:rsidRPr="001D45AB">
        <w:rPr>
          <w:sz w:val="22"/>
          <w:szCs w:val="22"/>
          <w:lang w:val="en-US"/>
        </w:rPr>
        <w:t>Embassy of Sweden, Tirana</w:t>
      </w:r>
    </w:p>
    <w:p w14:paraId="15673181" w14:textId="385063B0" w:rsidR="0004442C" w:rsidRPr="001D45AB" w:rsidRDefault="00821074" w:rsidP="00F0088D">
      <w:pPr>
        <w:spacing w:after="120"/>
        <w:jc w:val="center"/>
        <w:rPr>
          <w:b/>
          <w:sz w:val="22"/>
          <w:szCs w:val="22"/>
        </w:rPr>
      </w:pPr>
      <w:r w:rsidRPr="001D45AB">
        <w:rPr>
          <w:sz w:val="22"/>
          <w:szCs w:val="22"/>
          <w:lang w:val="en-US"/>
        </w:rPr>
        <w:t xml:space="preserve">Questions </w:t>
      </w:r>
      <w:r w:rsidR="0004442C" w:rsidRPr="001D45AB">
        <w:rPr>
          <w:sz w:val="22"/>
          <w:szCs w:val="22"/>
          <w:lang w:val="en-US"/>
        </w:rPr>
        <w:t xml:space="preserve">and clarifications to tender dossier </w:t>
      </w:r>
      <w:r w:rsidR="00F0088D" w:rsidRPr="001D45AB">
        <w:rPr>
          <w:rFonts w:eastAsia="Calibri"/>
          <w:bCs/>
          <w:color w:val="000000"/>
          <w:sz w:val="22"/>
          <w:szCs w:val="22"/>
          <w:lang w:bidi="en-GB"/>
        </w:rPr>
        <w:t>UM 2021/ UM 2021/</w:t>
      </w:r>
      <w:r w:rsidR="00F0088D" w:rsidRPr="001D45AB">
        <w:rPr>
          <w:rFonts w:eastAsia="Calibri"/>
          <w:bCs/>
          <w:iCs/>
          <w:sz w:val="22"/>
          <w:szCs w:val="22"/>
          <w:lang w:bidi="en-GB"/>
        </w:rPr>
        <w:t>06538</w:t>
      </w:r>
    </w:p>
    <w:p w14:paraId="2FB90272" w14:textId="03B7AC0F" w:rsidR="0004442C" w:rsidRPr="001D45AB" w:rsidRDefault="0004442C" w:rsidP="00F0088D">
      <w:pPr>
        <w:spacing w:after="120"/>
        <w:jc w:val="center"/>
        <w:rPr>
          <w:b/>
          <w:sz w:val="22"/>
          <w:szCs w:val="22"/>
          <w:lang w:val="it-IT"/>
        </w:rPr>
      </w:pPr>
      <w:r w:rsidRPr="001D45AB">
        <w:rPr>
          <w:sz w:val="22"/>
          <w:szCs w:val="22"/>
        </w:rPr>
        <w:t>Institutional Capacity Building of the Water Resources Management Agency</w:t>
      </w:r>
    </w:p>
    <w:p w14:paraId="57B0ABBB" w14:textId="77777777" w:rsidR="0004442C" w:rsidRPr="001D45AB" w:rsidRDefault="0004442C">
      <w:pPr>
        <w:rPr>
          <w:sz w:val="22"/>
          <w:szCs w:val="22"/>
          <w:lang w:val="it-IT"/>
        </w:rPr>
      </w:pPr>
    </w:p>
    <w:p w14:paraId="1C50419A" w14:textId="4DF1646C" w:rsidR="00821074" w:rsidRPr="001D45AB" w:rsidRDefault="00821074">
      <w:pPr>
        <w:rPr>
          <w:sz w:val="22"/>
          <w:szCs w:val="22"/>
        </w:rPr>
      </w:pPr>
    </w:p>
    <w:tbl>
      <w:tblPr>
        <w:tblStyle w:val="TableGrid"/>
        <w:tblW w:w="0" w:type="auto"/>
        <w:tblInd w:w="-147" w:type="dxa"/>
        <w:tblLook w:val="04A0" w:firstRow="1" w:lastRow="0" w:firstColumn="1" w:lastColumn="0" w:noHBand="0" w:noVBand="1"/>
      </w:tblPr>
      <w:tblGrid>
        <w:gridCol w:w="588"/>
        <w:gridCol w:w="4293"/>
        <w:gridCol w:w="4282"/>
      </w:tblGrid>
      <w:tr w:rsidR="00F0088D" w:rsidRPr="001D45AB" w14:paraId="454EBEDF" w14:textId="77777777" w:rsidTr="00F425C0">
        <w:tc>
          <w:tcPr>
            <w:tcW w:w="588" w:type="dxa"/>
          </w:tcPr>
          <w:p w14:paraId="0B1105ED" w14:textId="6084F8EA" w:rsidR="00F0088D" w:rsidRPr="001D45AB" w:rsidRDefault="00F0088D" w:rsidP="00F0088D">
            <w:pPr>
              <w:jc w:val="right"/>
              <w:rPr>
                <w:sz w:val="22"/>
                <w:szCs w:val="22"/>
                <w:lang w:val="sv-SE"/>
              </w:rPr>
            </w:pPr>
            <w:r w:rsidRPr="001D45AB">
              <w:rPr>
                <w:sz w:val="22"/>
                <w:szCs w:val="22"/>
                <w:lang w:val="sv-SE"/>
              </w:rPr>
              <w:t>#</w:t>
            </w:r>
          </w:p>
        </w:tc>
        <w:tc>
          <w:tcPr>
            <w:tcW w:w="4293" w:type="dxa"/>
          </w:tcPr>
          <w:p w14:paraId="481421AC" w14:textId="3DFB90D3" w:rsidR="00F0088D" w:rsidRPr="001D45AB" w:rsidRDefault="00F0088D" w:rsidP="00F0088D">
            <w:pPr>
              <w:jc w:val="center"/>
              <w:rPr>
                <w:sz w:val="22"/>
                <w:szCs w:val="22"/>
                <w:lang w:val="sv-SE"/>
              </w:rPr>
            </w:pPr>
            <w:r w:rsidRPr="001D45AB">
              <w:rPr>
                <w:sz w:val="22"/>
                <w:szCs w:val="22"/>
                <w:lang w:val="sv-SE"/>
              </w:rPr>
              <w:t>Question</w:t>
            </w:r>
          </w:p>
        </w:tc>
        <w:tc>
          <w:tcPr>
            <w:tcW w:w="4282" w:type="dxa"/>
          </w:tcPr>
          <w:p w14:paraId="475C91B6" w14:textId="1F89AD8F" w:rsidR="00F0088D" w:rsidRPr="001D45AB" w:rsidRDefault="00F0088D" w:rsidP="00F0088D">
            <w:pPr>
              <w:jc w:val="center"/>
              <w:rPr>
                <w:sz w:val="22"/>
                <w:szCs w:val="22"/>
                <w:lang w:val="sv-SE"/>
              </w:rPr>
            </w:pPr>
            <w:r w:rsidRPr="001D45AB">
              <w:rPr>
                <w:sz w:val="22"/>
                <w:szCs w:val="22"/>
                <w:lang w:val="sv-SE"/>
              </w:rPr>
              <w:t>Clarification</w:t>
            </w:r>
          </w:p>
        </w:tc>
      </w:tr>
      <w:tr w:rsidR="00F0088D" w:rsidRPr="001D45AB" w14:paraId="3EBABE57" w14:textId="77777777" w:rsidTr="00F425C0">
        <w:tc>
          <w:tcPr>
            <w:tcW w:w="588" w:type="dxa"/>
          </w:tcPr>
          <w:p w14:paraId="1DB3FA09" w14:textId="7FD3FF38" w:rsidR="00F0088D" w:rsidRPr="001D45AB" w:rsidRDefault="00F0088D" w:rsidP="00F0088D">
            <w:pPr>
              <w:jc w:val="right"/>
              <w:rPr>
                <w:sz w:val="22"/>
                <w:szCs w:val="22"/>
                <w:lang w:val="sv-SE"/>
              </w:rPr>
            </w:pPr>
            <w:r w:rsidRPr="001D45AB">
              <w:rPr>
                <w:sz w:val="22"/>
                <w:szCs w:val="22"/>
                <w:lang w:val="sv-SE"/>
              </w:rPr>
              <w:t>1</w:t>
            </w:r>
          </w:p>
        </w:tc>
        <w:tc>
          <w:tcPr>
            <w:tcW w:w="4293" w:type="dxa"/>
          </w:tcPr>
          <w:p w14:paraId="78FD3CFC" w14:textId="077276C0" w:rsidR="00F0088D" w:rsidRPr="001D45AB" w:rsidRDefault="001F5B3D" w:rsidP="002C5DF1">
            <w:pPr>
              <w:rPr>
                <w:sz w:val="22"/>
                <w:szCs w:val="22"/>
              </w:rPr>
            </w:pPr>
            <w:r w:rsidRPr="001D45AB">
              <w:rPr>
                <w:sz w:val="22"/>
                <w:szCs w:val="22"/>
              </w:rPr>
              <w:t>In case of discrepancies/differences between the Procurement Document and the Terms of Reference, which document prevails?</w:t>
            </w:r>
          </w:p>
        </w:tc>
        <w:tc>
          <w:tcPr>
            <w:tcW w:w="4282" w:type="dxa"/>
          </w:tcPr>
          <w:p w14:paraId="261996CB" w14:textId="478DFF7F" w:rsidR="00F0088D" w:rsidRPr="001D45AB" w:rsidRDefault="00AA187D" w:rsidP="002C5DF1">
            <w:pPr>
              <w:rPr>
                <w:sz w:val="22"/>
                <w:szCs w:val="22"/>
                <w:lang w:val="en-US"/>
              </w:rPr>
            </w:pPr>
            <w:r w:rsidRPr="001D45AB">
              <w:rPr>
                <w:sz w:val="22"/>
                <w:szCs w:val="22"/>
                <w:lang w:val="en-US"/>
              </w:rPr>
              <w:t>The</w:t>
            </w:r>
            <w:r w:rsidR="00F50072" w:rsidRPr="001D45AB">
              <w:rPr>
                <w:sz w:val="22"/>
                <w:szCs w:val="22"/>
                <w:lang w:val="en-US"/>
              </w:rPr>
              <w:t xml:space="preserve"> Procurement Document has precedence over the Terms of Reference in case of any discrepancy/difference between the two. </w:t>
            </w:r>
          </w:p>
        </w:tc>
      </w:tr>
      <w:tr w:rsidR="00F0088D" w:rsidRPr="001D45AB" w14:paraId="4E644F56" w14:textId="77777777" w:rsidTr="00F425C0">
        <w:tc>
          <w:tcPr>
            <w:tcW w:w="588" w:type="dxa"/>
          </w:tcPr>
          <w:p w14:paraId="4111C756" w14:textId="3E3E0F8F" w:rsidR="00F0088D" w:rsidRPr="001D45AB" w:rsidRDefault="0045112F" w:rsidP="00F0088D">
            <w:pPr>
              <w:jc w:val="right"/>
              <w:rPr>
                <w:sz w:val="22"/>
                <w:szCs w:val="22"/>
                <w:lang w:val="sv-SE"/>
              </w:rPr>
            </w:pPr>
            <w:r w:rsidRPr="001D45AB">
              <w:rPr>
                <w:sz w:val="22"/>
                <w:szCs w:val="22"/>
                <w:lang w:val="sv-SE"/>
              </w:rPr>
              <w:t>2</w:t>
            </w:r>
          </w:p>
        </w:tc>
        <w:tc>
          <w:tcPr>
            <w:tcW w:w="4293" w:type="dxa"/>
          </w:tcPr>
          <w:p w14:paraId="1D24EC38" w14:textId="0A54D95A" w:rsidR="00F0088D" w:rsidRPr="001D45AB" w:rsidRDefault="0045112F" w:rsidP="0045112F">
            <w:pPr>
              <w:pStyle w:val="m-3601503379191166658msolistparagraph"/>
              <w:rPr>
                <w:sz w:val="22"/>
                <w:szCs w:val="22"/>
              </w:rPr>
            </w:pPr>
            <w:r w:rsidRPr="001D45AB">
              <w:rPr>
                <w:sz w:val="22"/>
                <w:szCs w:val="22"/>
              </w:rPr>
              <w:t>Regarding tender proposal, are there specifications for font and maximum number of pages?</w:t>
            </w:r>
          </w:p>
        </w:tc>
        <w:tc>
          <w:tcPr>
            <w:tcW w:w="4282" w:type="dxa"/>
          </w:tcPr>
          <w:p w14:paraId="2C86E74D" w14:textId="00C1DBAB" w:rsidR="00F0088D" w:rsidRPr="001D45AB" w:rsidRDefault="005346A3" w:rsidP="002C5DF1">
            <w:pPr>
              <w:rPr>
                <w:sz w:val="22"/>
                <w:szCs w:val="22"/>
                <w:lang w:val="sv-SE"/>
              </w:rPr>
            </w:pPr>
            <w:r w:rsidRPr="001D45AB">
              <w:rPr>
                <w:sz w:val="22"/>
                <w:szCs w:val="22"/>
                <w:lang w:val="sv-SE"/>
              </w:rPr>
              <w:t>No.</w:t>
            </w:r>
          </w:p>
        </w:tc>
      </w:tr>
      <w:tr w:rsidR="00F0088D" w:rsidRPr="001D45AB" w14:paraId="083B7716" w14:textId="77777777" w:rsidTr="00F425C0">
        <w:tc>
          <w:tcPr>
            <w:tcW w:w="588" w:type="dxa"/>
          </w:tcPr>
          <w:p w14:paraId="775A6826" w14:textId="6DE7B35E" w:rsidR="00F0088D" w:rsidRPr="001D45AB" w:rsidRDefault="0045112F" w:rsidP="00F0088D">
            <w:pPr>
              <w:jc w:val="right"/>
              <w:rPr>
                <w:sz w:val="22"/>
                <w:szCs w:val="22"/>
                <w:lang w:val="sv-SE"/>
              </w:rPr>
            </w:pPr>
            <w:r w:rsidRPr="001D45AB">
              <w:rPr>
                <w:sz w:val="22"/>
                <w:szCs w:val="22"/>
                <w:lang w:val="sv-SE"/>
              </w:rPr>
              <w:t>3</w:t>
            </w:r>
          </w:p>
        </w:tc>
        <w:tc>
          <w:tcPr>
            <w:tcW w:w="4293" w:type="dxa"/>
          </w:tcPr>
          <w:p w14:paraId="79447253" w14:textId="454A90D5" w:rsidR="00F0088D" w:rsidRPr="001D45AB" w:rsidRDefault="0045112F" w:rsidP="002C5DF1">
            <w:pPr>
              <w:rPr>
                <w:sz w:val="22"/>
                <w:szCs w:val="22"/>
              </w:rPr>
            </w:pPr>
            <w:r w:rsidRPr="001D45AB">
              <w:rPr>
                <w:sz w:val="22"/>
                <w:szCs w:val="22"/>
              </w:rPr>
              <w:t>In the TOR, section 6.5 Reimbursable expenditures, page 21, first paragraph after hyphen bullet list, second sentence, says: “…The provision for reimbursable expenditures for this contract is EUR 223,000. This amount must be included unchanged in the Budget breakdown”. While the Procurement Document, section 6.1 Fees and costs, indicates: “Reimbursable expenses shall be specified separately with the exact sum of 2,550,000 SEK”. We assume that the amount to be used is the sum specified in SEK, please confirm if this is correct.</w:t>
            </w:r>
          </w:p>
        </w:tc>
        <w:tc>
          <w:tcPr>
            <w:tcW w:w="4282" w:type="dxa"/>
          </w:tcPr>
          <w:p w14:paraId="51E6F338" w14:textId="66CDC252" w:rsidR="00F0088D" w:rsidRPr="001D45AB" w:rsidRDefault="005346A3" w:rsidP="002C5DF1">
            <w:pPr>
              <w:rPr>
                <w:sz w:val="22"/>
                <w:szCs w:val="22"/>
                <w:lang w:val="en-US"/>
              </w:rPr>
            </w:pPr>
            <w:r w:rsidRPr="001D45AB">
              <w:rPr>
                <w:sz w:val="22"/>
                <w:szCs w:val="22"/>
                <w:lang w:val="en-US"/>
              </w:rPr>
              <w:t xml:space="preserve">Yes, it is correct that the sum </w:t>
            </w:r>
            <w:r w:rsidR="00100BE5" w:rsidRPr="001D45AB">
              <w:rPr>
                <w:sz w:val="22"/>
                <w:szCs w:val="22"/>
                <w:lang w:val="en-US"/>
              </w:rPr>
              <w:t>shall</w:t>
            </w:r>
            <w:r w:rsidRPr="001D45AB">
              <w:rPr>
                <w:sz w:val="22"/>
                <w:szCs w:val="22"/>
                <w:lang w:val="en-US"/>
              </w:rPr>
              <w:t xml:space="preserve"> be specified in SEK</w:t>
            </w:r>
            <w:r w:rsidR="00AF5E2E" w:rsidRPr="001D45AB">
              <w:rPr>
                <w:sz w:val="22"/>
                <w:szCs w:val="22"/>
                <w:lang w:val="en-US"/>
              </w:rPr>
              <w:t xml:space="preserve"> (see also below)</w:t>
            </w:r>
            <w:r w:rsidRPr="001D45AB">
              <w:rPr>
                <w:sz w:val="22"/>
                <w:szCs w:val="22"/>
                <w:lang w:val="en-US"/>
              </w:rPr>
              <w:t>.</w:t>
            </w:r>
          </w:p>
          <w:p w14:paraId="39980142" w14:textId="77777777" w:rsidR="006A4140" w:rsidRPr="001D45AB" w:rsidRDefault="006A4140" w:rsidP="002C5DF1">
            <w:pPr>
              <w:rPr>
                <w:sz w:val="22"/>
                <w:szCs w:val="22"/>
                <w:lang w:val="en-US"/>
              </w:rPr>
            </w:pPr>
          </w:p>
          <w:p w14:paraId="51E2E36C" w14:textId="49F8BC9A" w:rsidR="006A4140" w:rsidRPr="001D45AB" w:rsidRDefault="006A4140" w:rsidP="002C5DF1">
            <w:pPr>
              <w:rPr>
                <w:sz w:val="22"/>
                <w:szCs w:val="22"/>
                <w:lang w:val="en-US"/>
              </w:rPr>
            </w:pPr>
          </w:p>
        </w:tc>
      </w:tr>
      <w:tr w:rsidR="00F0088D" w:rsidRPr="001D45AB" w14:paraId="6348FBB6" w14:textId="77777777" w:rsidTr="00F425C0">
        <w:tc>
          <w:tcPr>
            <w:tcW w:w="588" w:type="dxa"/>
          </w:tcPr>
          <w:p w14:paraId="42A5E04E" w14:textId="6CD915DB" w:rsidR="00F0088D" w:rsidRPr="001D45AB" w:rsidRDefault="0045112F" w:rsidP="00F0088D">
            <w:pPr>
              <w:jc w:val="right"/>
              <w:rPr>
                <w:sz w:val="22"/>
                <w:szCs w:val="22"/>
                <w:lang w:val="sv-SE"/>
              </w:rPr>
            </w:pPr>
            <w:r w:rsidRPr="001D45AB">
              <w:rPr>
                <w:sz w:val="22"/>
                <w:szCs w:val="22"/>
                <w:lang w:val="sv-SE"/>
              </w:rPr>
              <w:t>4</w:t>
            </w:r>
          </w:p>
        </w:tc>
        <w:tc>
          <w:tcPr>
            <w:tcW w:w="4293" w:type="dxa"/>
          </w:tcPr>
          <w:p w14:paraId="6C543A17" w14:textId="67BB2761" w:rsidR="00F0088D" w:rsidRPr="001D45AB" w:rsidRDefault="0045112F" w:rsidP="002C5DF1">
            <w:pPr>
              <w:rPr>
                <w:sz w:val="22"/>
                <w:szCs w:val="22"/>
              </w:rPr>
            </w:pPr>
            <w:r w:rsidRPr="001D45AB">
              <w:rPr>
                <w:sz w:val="22"/>
                <w:szCs w:val="22"/>
              </w:rPr>
              <w:t>In the TOR, section 4.3 Project Management, last paragraph under sub-heading Management Structure (page 16), it says: “…In addition, the Consultant is expected to identify the existing management structure of government bodies involved in vehicle inspections, speed management system and road safety engineering and awareness and education program, and advice on creation of working groups”. Please clarify if this sentence/issue is part of the scope of the assignment.</w:t>
            </w:r>
          </w:p>
        </w:tc>
        <w:tc>
          <w:tcPr>
            <w:tcW w:w="4282" w:type="dxa"/>
          </w:tcPr>
          <w:p w14:paraId="76457FE9" w14:textId="66758239" w:rsidR="00F0088D" w:rsidRPr="001D45AB" w:rsidRDefault="00EA414C" w:rsidP="002C5DF1">
            <w:pPr>
              <w:rPr>
                <w:sz w:val="22"/>
                <w:szCs w:val="22"/>
                <w:lang w:val="en-US"/>
              </w:rPr>
            </w:pPr>
            <w:r w:rsidRPr="001D45AB">
              <w:rPr>
                <w:sz w:val="22"/>
                <w:szCs w:val="22"/>
                <w:lang w:val="en-US"/>
              </w:rPr>
              <w:t xml:space="preserve">It is clarified that that this sentence/issue </w:t>
            </w:r>
            <w:r w:rsidR="00F50072" w:rsidRPr="001D45AB">
              <w:rPr>
                <w:sz w:val="22"/>
                <w:szCs w:val="22"/>
                <w:lang w:val="en-US"/>
              </w:rPr>
              <w:t>is not part of the scope of the current assignment.</w:t>
            </w:r>
          </w:p>
        </w:tc>
      </w:tr>
      <w:tr w:rsidR="00F0088D" w:rsidRPr="001D45AB" w14:paraId="3F69A1AA" w14:textId="77777777" w:rsidTr="00F425C0">
        <w:tc>
          <w:tcPr>
            <w:tcW w:w="588" w:type="dxa"/>
          </w:tcPr>
          <w:p w14:paraId="033EA4B4" w14:textId="5F286460" w:rsidR="00F0088D" w:rsidRPr="001D45AB" w:rsidRDefault="0045112F" w:rsidP="00F0088D">
            <w:pPr>
              <w:jc w:val="right"/>
              <w:rPr>
                <w:sz w:val="22"/>
                <w:szCs w:val="22"/>
                <w:lang w:val="sv-SE"/>
              </w:rPr>
            </w:pPr>
            <w:r w:rsidRPr="001D45AB">
              <w:rPr>
                <w:sz w:val="22"/>
                <w:szCs w:val="22"/>
                <w:lang w:val="sv-SE"/>
              </w:rPr>
              <w:t>5</w:t>
            </w:r>
          </w:p>
        </w:tc>
        <w:tc>
          <w:tcPr>
            <w:tcW w:w="4293" w:type="dxa"/>
          </w:tcPr>
          <w:p w14:paraId="01ED6EE1" w14:textId="091979F7" w:rsidR="00F0088D" w:rsidRPr="001D45AB" w:rsidRDefault="0045112F" w:rsidP="002C5DF1">
            <w:pPr>
              <w:rPr>
                <w:sz w:val="22"/>
                <w:szCs w:val="22"/>
              </w:rPr>
            </w:pPr>
            <w:r w:rsidRPr="001D45AB">
              <w:rPr>
                <w:sz w:val="22"/>
                <w:szCs w:val="22"/>
              </w:rPr>
              <w:t xml:space="preserve">On page 21 of the </w:t>
            </w:r>
            <w:proofErr w:type="spellStart"/>
            <w:r w:rsidRPr="001D45AB">
              <w:rPr>
                <w:sz w:val="22"/>
                <w:szCs w:val="22"/>
              </w:rPr>
              <w:t>ToR’s</w:t>
            </w:r>
            <w:proofErr w:type="spellEnd"/>
            <w:r w:rsidRPr="001D45AB">
              <w:rPr>
                <w:sz w:val="22"/>
                <w:szCs w:val="22"/>
              </w:rPr>
              <w:t xml:space="preserve"> it is mentioned that there are Lump Sums as well as 36,000 EUROS foreseen for this contract although the Procurement document is silent on this. Shall we include in our budget the lumps sums and the expenditure verification unchanged?</w:t>
            </w:r>
          </w:p>
        </w:tc>
        <w:tc>
          <w:tcPr>
            <w:tcW w:w="4282" w:type="dxa"/>
          </w:tcPr>
          <w:p w14:paraId="68F32346" w14:textId="1D6CDE49" w:rsidR="00407153" w:rsidRPr="001D45AB" w:rsidRDefault="00407153" w:rsidP="00407153">
            <w:pPr>
              <w:pStyle w:val="NormalWeb"/>
              <w:rPr>
                <w:sz w:val="22"/>
                <w:szCs w:val="22"/>
                <w:lang w:val="en-US"/>
              </w:rPr>
            </w:pPr>
            <w:r w:rsidRPr="001D45AB">
              <w:rPr>
                <w:sz w:val="22"/>
                <w:szCs w:val="22"/>
                <w:lang w:val="en-US"/>
              </w:rPr>
              <w:t xml:space="preserve">The </w:t>
            </w:r>
            <w:r w:rsidR="002071C7" w:rsidRPr="001D45AB">
              <w:rPr>
                <w:sz w:val="22"/>
                <w:szCs w:val="22"/>
                <w:lang w:val="en-US"/>
              </w:rPr>
              <w:t xml:space="preserve">fixed </w:t>
            </w:r>
            <w:r w:rsidRPr="001D45AB">
              <w:rPr>
                <w:sz w:val="22"/>
                <w:szCs w:val="22"/>
                <w:lang w:val="en-US"/>
              </w:rPr>
              <w:t xml:space="preserve">sum of </w:t>
            </w:r>
            <w:r w:rsidRPr="001D45AB">
              <w:rPr>
                <w:sz w:val="22"/>
                <w:szCs w:val="22"/>
              </w:rPr>
              <w:t xml:space="preserve">2,550,000 SEK </w:t>
            </w:r>
            <w:r w:rsidRPr="001D45AB">
              <w:rPr>
                <w:sz w:val="22"/>
                <w:szCs w:val="22"/>
                <w:lang w:val="en-US"/>
              </w:rPr>
              <w:t xml:space="preserve">for reimbursable expenses and the </w:t>
            </w:r>
            <w:r w:rsidR="002071C7" w:rsidRPr="001D45AB">
              <w:rPr>
                <w:sz w:val="22"/>
                <w:szCs w:val="22"/>
                <w:lang w:val="en-US"/>
              </w:rPr>
              <w:t xml:space="preserve">fixed </w:t>
            </w:r>
            <w:r w:rsidRPr="001D45AB">
              <w:rPr>
                <w:sz w:val="22"/>
                <w:szCs w:val="22"/>
                <w:lang w:val="en-US"/>
              </w:rPr>
              <w:t xml:space="preserve">sum of </w:t>
            </w:r>
            <w:r w:rsidR="00A97D59" w:rsidRPr="001D45AB">
              <w:rPr>
                <w:sz w:val="22"/>
                <w:szCs w:val="22"/>
                <w:lang w:val="en-US"/>
              </w:rPr>
              <w:t>412</w:t>
            </w:r>
            <w:r w:rsidR="002071C7" w:rsidRPr="001D45AB">
              <w:rPr>
                <w:sz w:val="22"/>
                <w:szCs w:val="22"/>
                <w:lang w:val="en-US"/>
              </w:rPr>
              <w:t>,000 SEK for expenditure verification shall be included unchanged in the budget.</w:t>
            </w:r>
          </w:p>
          <w:p w14:paraId="0CC36796" w14:textId="529D23FF" w:rsidR="00F0088D" w:rsidRPr="001D45AB" w:rsidRDefault="00F0088D" w:rsidP="002C5DF1">
            <w:pPr>
              <w:rPr>
                <w:sz w:val="22"/>
                <w:szCs w:val="22"/>
                <w:lang w:val="en-US"/>
              </w:rPr>
            </w:pPr>
          </w:p>
        </w:tc>
      </w:tr>
      <w:tr w:rsidR="00F0088D" w:rsidRPr="001D45AB" w14:paraId="76626B35" w14:textId="77777777" w:rsidTr="00F425C0">
        <w:tc>
          <w:tcPr>
            <w:tcW w:w="588" w:type="dxa"/>
          </w:tcPr>
          <w:p w14:paraId="06011822" w14:textId="77777777" w:rsidR="00F0088D" w:rsidRPr="001D45AB" w:rsidRDefault="008F76B1" w:rsidP="00777298">
            <w:pPr>
              <w:jc w:val="right"/>
              <w:rPr>
                <w:sz w:val="22"/>
                <w:szCs w:val="22"/>
                <w:lang w:val="en-US"/>
              </w:rPr>
            </w:pPr>
            <w:r w:rsidRPr="001D45AB">
              <w:rPr>
                <w:sz w:val="22"/>
                <w:szCs w:val="22"/>
                <w:lang w:val="en-US"/>
              </w:rPr>
              <w:t>6</w:t>
            </w:r>
          </w:p>
          <w:p w14:paraId="02F51B3E" w14:textId="2C52F801" w:rsidR="008F76B1" w:rsidRPr="001D45AB" w:rsidRDefault="008F76B1" w:rsidP="00777298">
            <w:pPr>
              <w:jc w:val="right"/>
              <w:rPr>
                <w:sz w:val="22"/>
                <w:szCs w:val="22"/>
                <w:lang w:val="en-US"/>
              </w:rPr>
            </w:pPr>
          </w:p>
        </w:tc>
        <w:tc>
          <w:tcPr>
            <w:tcW w:w="4293" w:type="dxa"/>
          </w:tcPr>
          <w:p w14:paraId="526BBBC2" w14:textId="23113E41" w:rsidR="00F0088D" w:rsidRPr="001D45AB" w:rsidRDefault="0045112F" w:rsidP="002C5DF1">
            <w:pPr>
              <w:rPr>
                <w:sz w:val="22"/>
                <w:szCs w:val="22"/>
              </w:rPr>
            </w:pPr>
            <w:r w:rsidRPr="001D45AB">
              <w:rPr>
                <w:sz w:val="22"/>
                <w:szCs w:val="22"/>
                <w:lang w:val="en-US"/>
              </w:rPr>
              <w:t xml:space="preserve">In the procurement document section 1.6. “Volumes” it states that the </w:t>
            </w:r>
            <w:r w:rsidRPr="001D45AB">
              <w:rPr>
                <w:sz w:val="22"/>
                <w:szCs w:val="22"/>
                <w:u w:val="single"/>
                <w:lang w:val="en-US"/>
              </w:rPr>
              <w:t>estimated</w:t>
            </w:r>
            <w:r w:rsidRPr="001D45AB">
              <w:rPr>
                <w:sz w:val="22"/>
                <w:szCs w:val="22"/>
                <w:lang w:val="en-US"/>
              </w:rPr>
              <w:t xml:space="preserve"> volume is </w:t>
            </w:r>
            <w:r w:rsidRPr="001D45AB">
              <w:rPr>
                <w:sz w:val="22"/>
                <w:szCs w:val="22"/>
                <w:u w:val="single"/>
                <w:lang w:val="en-US"/>
              </w:rPr>
              <w:t>approximately</w:t>
            </w:r>
            <w:r w:rsidRPr="001D45AB">
              <w:rPr>
                <w:sz w:val="22"/>
                <w:szCs w:val="22"/>
                <w:lang w:val="en-US"/>
              </w:rPr>
              <w:t xml:space="preserve"> 19 700 000 SEK, excl. VAT, (approximately 1 940 000€). Please clarify what the financial ceiling is for this project offer (</w:t>
            </w:r>
            <w:proofErr w:type="spellStart"/>
            <w:r w:rsidRPr="001D45AB">
              <w:rPr>
                <w:sz w:val="22"/>
                <w:szCs w:val="22"/>
                <w:lang w:val="en-US"/>
              </w:rPr>
              <w:t>ie</w:t>
            </w:r>
            <w:proofErr w:type="spellEnd"/>
            <w:r w:rsidRPr="001D45AB">
              <w:rPr>
                <w:sz w:val="22"/>
                <w:szCs w:val="22"/>
                <w:lang w:val="en-US"/>
              </w:rPr>
              <w:t xml:space="preserve"> the total allowed amount to budget in the fi8nancial proposal). </w:t>
            </w:r>
          </w:p>
        </w:tc>
        <w:tc>
          <w:tcPr>
            <w:tcW w:w="4282" w:type="dxa"/>
          </w:tcPr>
          <w:p w14:paraId="0A0ED733" w14:textId="6CECA841" w:rsidR="00F0088D" w:rsidRPr="001D45AB" w:rsidRDefault="00407153" w:rsidP="002C5DF1">
            <w:pPr>
              <w:rPr>
                <w:sz w:val="22"/>
                <w:szCs w:val="22"/>
                <w:lang w:val="en-US"/>
              </w:rPr>
            </w:pPr>
            <w:r w:rsidRPr="001D45AB">
              <w:rPr>
                <w:sz w:val="22"/>
                <w:szCs w:val="22"/>
                <w:lang w:val="en-US"/>
              </w:rPr>
              <w:t xml:space="preserve">The sum of 19 700 000 SEK is the </w:t>
            </w:r>
            <w:r w:rsidR="002071C7" w:rsidRPr="001D45AB">
              <w:rPr>
                <w:sz w:val="22"/>
                <w:szCs w:val="22"/>
                <w:lang w:val="en-US"/>
              </w:rPr>
              <w:t>financial ceiling for the project offer.</w:t>
            </w:r>
          </w:p>
        </w:tc>
      </w:tr>
      <w:tr w:rsidR="00F0088D" w:rsidRPr="001D45AB" w14:paraId="0ECA6D47" w14:textId="77777777" w:rsidTr="00F425C0">
        <w:tc>
          <w:tcPr>
            <w:tcW w:w="588" w:type="dxa"/>
          </w:tcPr>
          <w:p w14:paraId="20398088" w14:textId="678E10DD" w:rsidR="00F0088D" w:rsidRPr="001D45AB" w:rsidRDefault="0045112F" w:rsidP="00F0088D">
            <w:pPr>
              <w:jc w:val="right"/>
              <w:rPr>
                <w:sz w:val="22"/>
                <w:szCs w:val="22"/>
                <w:lang w:val="sv-SE"/>
              </w:rPr>
            </w:pPr>
            <w:r w:rsidRPr="001D45AB">
              <w:rPr>
                <w:sz w:val="22"/>
                <w:szCs w:val="22"/>
                <w:lang w:val="sv-SE"/>
              </w:rPr>
              <w:lastRenderedPageBreak/>
              <w:t>7</w:t>
            </w:r>
          </w:p>
        </w:tc>
        <w:tc>
          <w:tcPr>
            <w:tcW w:w="4293" w:type="dxa"/>
          </w:tcPr>
          <w:p w14:paraId="38B7CC7C" w14:textId="2147568B" w:rsidR="00F0088D" w:rsidRPr="001D45AB" w:rsidRDefault="0045112F" w:rsidP="0045112F">
            <w:pPr>
              <w:pStyle w:val="m7292813404176245689msolistparagraph"/>
              <w:rPr>
                <w:sz w:val="22"/>
                <w:szCs w:val="22"/>
              </w:rPr>
            </w:pPr>
            <w:r w:rsidRPr="001D45AB">
              <w:rPr>
                <w:sz w:val="22"/>
                <w:szCs w:val="22"/>
                <w:lang w:val="en-US"/>
              </w:rPr>
              <w:t>The procurement documents do not include a template for the financial offer. Please clarify if this is an omission.</w:t>
            </w:r>
          </w:p>
        </w:tc>
        <w:tc>
          <w:tcPr>
            <w:tcW w:w="4282" w:type="dxa"/>
          </w:tcPr>
          <w:p w14:paraId="7E2C912D" w14:textId="3470D989" w:rsidR="00F0088D" w:rsidRPr="001D45AB" w:rsidRDefault="0072183A" w:rsidP="002C5DF1">
            <w:pPr>
              <w:rPr>
                <w:sz w:val="22"/>
                <w:szCs w:val="22"/>
                <w:lang w:val="en-US"/>
              </w:rPr>
            </w:pPr>
            <w:r w:rsidRPr="001D45AB">
              <w:rPr>
                <w:sz w:val="22"/>
                <w:szCs w:val="22"/>
                <w:lang w:val="en-US"/>
              </w:rPr>
              <w:t xml:space="preserve">Any template that specifies the total sum </w:t>
            </w:r>
            <w:r w:rsidR="002071C7" w:rsidRPr="001D45AB">
              <w:rPr>
                <w:sz w:val="22"/>
                <w:szCs w:val="22"/>
                <w:lang w:val="en-US"/>
              </w:rPr>
              <w:t>of the financial offer; the</w:t>
            </w:r>
            <w:r w:rsidR="00D17E14" w:rsidRPr="001D45AB">
              <w:rPr>
                <w:sz w:val="22"/>
                <w:szCs w:val="22"/>
                <w:lang w:val="en-US"/>
              </w:rPr>
              <w:t xml:space="preserve"> total </w:t>
            </w:r>
            <w:r w:rsidR="002071C7" w:rsidRPr="001D45AB">
              <w:rPr>
                <w:sz w:val="22"/>
                <w:szCs w:val="22"/>
                <w:lang w:val="en-US"/>
              </w:rPr>
              <w:t xml:space="preserve">fee costs </w:t>
            </w:r>
            <w:r w:rsidR="00D17E14" w:rsidRPr="001D45AB">
              <w:rPr>
                <w:sz w:val="22"/>
                <w:szCs w:val="22"/>
                <w:lang w:val="en-US"/>
              </w:rPr>
              <w:t xml:space="preserve">along with breakdown </w:t>
            </w:r>
            <w:r w:rsidR="002071C7" w:rsidRPr="001D45AB">
              <w:rPr>
                <w:sz w:val="22"/>
                <w:szCs w:val="22"/>
                <w:lang w:val="en-US"/>
              </w:rPr>
              <w:t xml:space="preserve">as specified under 6.1 in the Procurement Document; the fixed sums for </w:t>
            </w:r>
            <w:r w:rsidR="00961CFE" w:rsidRPr="001D45AB">
              <w:rPr>
                <w:sz w:val="22"/>
                <w:szCs w:val="22"/>
                <w:lang w:val="en-US"/>
              </w:rPr>
              <w:t>reimbursable expenses and expenditure verification (see # 5 above); and Lump Sums for activities 3.2 and 3.3 will do.</w:t>
            </w:r>
          </w:p>
        </w:tc>
      </w:tr>
      <w:tr w:rsidR="00F0088D" w:rsidRPr="001D45AB" w14:paraId="2DC685CD" w14:textId="77777777" w:rsidTr="00F425C0">
        <w:tc>
          <w:tcPr>
            <w:tcW w:w="588" w:type="dxa"/>
          </w:tcPr>
          <w:p w14:paraId="2414C2A2" w14:textId="5029D28A" w:rsidR="00F0088D" w:rsidRPr="001D45AB" w:rsidRDefault="0045112F" w:rsidP="00F0088D">
            <w:pPr>
              <w:jc w:val="right"/>
              <w:rPr>
                <w:sz w:val="22"/>
                <w:szCs w:val="22"/>
                <w:lang w:val="sv-SE"/>
              </w:rPr>
            </w:pPr>
            <w:r w:rsidRPr="001D45AB">
              <w:rPr>
                <w:sz w:val="22"/>
                <w:szCs w:val="22"/>
                <w:lang w:val="sv-SE"/>
              </w:rPr>
              <w:t>8</w:t>
            </w:r>
          </w:p>
        </w:tc>
        <w:tc>
          <w:tcPr>
            <w:tcW w:w="4293" w:type="dxa"/>
          </w:tcPr>
          <w:p w14:paraId="06CEEF13" w14:textId="3868BEDD" w:rsidR="00F0088D" w:rsidRPr="001D45AB" w:rsidRDefault="0045112F" w:rsidP="002C5DF1">
            <w:pPr>
              <w:rPr>
                <w:sz w:val="22"/>
                <w:szCs w:val="22"/>
              </w:rPr>
            </w:pPr>
            <w:r w:rsidRPr="001D45AB">
              <w:rPr>
                <w:sz w:val="22"/>
                <w:szCs w:val="22"/>
                <w:lang w:val="en-US"/>
              </w:rPr>
              <w:t>With regards to the financial proposal, in the procurement documents there are two different instructions in different currencies: one in the terms of reference (in EUR); and one in the procurement document (in SEK). In the procurement document section 6.1 “Fees and costs”, it states that the “total cost of the assignment shall be specified in the tender (fees and reimbursable expenses). Fees shall be specified as fee/day for each personnel category. Reimbursable expenses shall be specified separately with the exact sum of 2,550,000 SEK. Other expenses shall be included in the fee. Travel expenses and other reimbursable expenses are to be reimbursed in accordance with appendix 3. The per diem rate for Albania for the year 2021 is 240 SEK ”, whereas in the terms of reference it state that the reimbursables budget should remain fixed at 230,000 EUR and that the breakdown should include only the two foreseen lump sums and the provision for expenditure verification of EUR 36,000. Please clarify which instruction and currency we should apply to the reimbursables budget and how the reimbursables budget should be broken down.</w:t>
            </w:r>
          </w:p>
        </w:tc>
        <w:tc>
          <w:tcPr>
            <w:tcW w:w="4282" w:type="dxa"/>
          </w:tcPr>
          <w:p w14:paraId="4BB65ACF" w14:textId="0ACB135A" w:rsidR="00F0088D" w:rsidRPr="001D45AB" w:rsidRDefault="00961CFE" w:rsidP="002C5DF1">
            <w:pPr>
              <w:rPr>
                <w:sz w:val="22"/>
                <w:szCs w:val="22"/>
                <w:lang w:val="en-US"/>
              </w:rPr>
            </w:pPr>
            <w:r w:rsidRPr="001D45AB">
              <w:rPr>
                <w:sz w:val="22"/>
                <w:szCs w:val="22"/>
                <w:lang w:val="en-US"/>
              </w:rPr>
              <w:t xml:space="preserve">See # </w:t>
            </w:r>
            <w:r w:rsidR="00DE6F56" w:rsidRPr="001D45AB">
              <w:rPr>
                <w:sz w:val="22"/>
                <w:szCs w:val="22"/>
                <w:lang w:val="en-US"/>
              </w:rPr>
              <w:t>5 and # 7 above.</w:t>
            </w:r>
            <w:r w:rsidR="00D17E14" w:rsidRPr="001D45AB">
              <w:rPr>
                <w:sz w:val="22"/>
                <w:szCs w:val="22"/>
                <w:lang w:val="en-US"/>
              </w:rPr>
              <w:t xml:space="preserve"> Please note that the fixed sums for reimbursable expenses and expenditure verification do not need to be broken down.</w:t>
            </w:r>
          </w:p>
        </w:tc>
      </w:tr>
      <w:tr w:rsidR="00F0088D" w:rsidRPr="001D45AB" w14:paraId="70E4E261" w14:textId="77777777" w:rsidTr="00F425C0">
        <w:tc>
          <w:tcPr>
            <w:tcW w:w="588" w:type="dxa"/>
          </w:tcPr>
          <w:p w14:paraId="5B21C110" w14:textId="6F7ED351" w:rsidR="00F0088D" w:rsidRPr="001D45AB" w:rsidRDefault="0045112F" w:rsidP="00F0088D">
            <w:pPr>
              <w:jc w:val="right"/>
              <w:rPr>
                <w:sz w:val="22"/>
                <w:szCs w:val="22"/>
                <w:lang w:val="sv-SE"/>
              </w:rPr>
            </w:pPr>
            <w:r w:rsidRPr="001D45AB">
              <w:rPr>
                <w:sz w:val="22"/>
                <w:szCs w:val="22"/>
                <w:lang w:val="sv-SE"/>
              </w:rPr>
              <w:t>9</w:t>
            </w:r>
          </w:p>
        </w:tc>
        <w:tc>
          <w:tcPr>
            <w:tcW w:w="4293" w:type="dxa"/>
          </w:tcPr>
          <w:p w14:paraId="3407D1B4" w14:textId="46EEAC8B" w:rsidR="00F0088D" w:rsidRPr="001D45AB" w:rsidRDefault="0045112F" w:rsidP="0045112F">
            <w:pPr>
              <w:pStyle w:val="m7292813404176245689msolistparagraph"/>
              <w:rPr>
                <w:sz w:val="22"/>
                <w:szCs w:val="22"/>
              </w:rPr>
            </w:pPr>
            <w:r w:rsidRPr="001D45AB">
              <w:rPr>
                <w:sz w:val="22"/>
                <w:szCs w:val="22"/>
                <w:lang w:val="en-US"/>
              </w:rPr>
              <w:t>We understand that this offer is a retendering process and that this is now being procured through the Sida/the Swedish Embassy in Albania. In the previous EU procurement there was a prequalification step whereby interested tenderers presented qualifying company references (‘technical capacity of the tender’) and only those shortlisted were then invited to tender. In the previous procurement the requirement was that “</w:t>
            </w:r>
            <w:r w:rsidRPr="001D45AB">
              <w:rPr>
                <w:sz w:val="22"/>
                <w:szCs w:val="22"/>
              </w:rPr>
              <w:t xml:space="preserve">The candidate has provided technical assistance services under at least (1) one contract/project with a budget of at least EUR 1,000,000 in the fields of water resource management and capacity building in public administration. During the last five years up to the submission deadline.” We note that </w:t>
            </w:r>
            <w:r w:rsidRPr="001D45AB">
              <w:rPr>
                <w:sz w:val="22"/>
                <w:szCs w:val="22"/>
                <w:lang w:val="en-US"/>
              </w:rPr>
              <w:t xml:space="preserve">in this procurement there are </w:t>
            </w:r>
            <w:r w:rsidRPr="001D45AB">
              <w:rPr>
                <w:sz w:val="22"/>
                <w:szCs w:val="22"/>
                <w:u w:val="single"/>
                <w:lang w:val="en-US"/>
              </w:rPr>
              <w:t>no reference requirements</w:t>
            </w:r>
            <w:r w:rsidRPr="001D45AB">
              <w:rPr>
                <w:sz w:val="22"/>
                <w:szCs w:val="22"/>
                <w:lang w:val="en-US"/>
              </w:rPr>
              <w:t xml:space="preserve"> for qualification that are specified in the procurement documents. Please clarify if this is an omission and if so, </w:t>
            </w:r>
            <w:r w:rsidRPr="001D45AB">
              <w:rPr>
                <w:sz w:val="22"/>
                <w:szCs w:val="22"/>
                <w:lang w:val="en-US"/>
              </w:rPr>
              <w:lastRenderedPageBreak/>
              <w:t xml:space="preserve">kindly specify what the qualifying company references are. </w:t>
            </w:r>
          </w:p>
        </w:tc>
        <w:tc>
          <w:tcPr>
            <w:tcW w:w="4282" w:type="dxa"/>
          </w:tcPr>
          <w:p w14:paraId="2B04C421" w14:textId="6D6BA929" w:rsidR="00F0088D" w:rsidRPr="001D45AB" w:rsidRDefault="00483993" w:rsidP="002C5DF1">
            <w:pPr>
              <w:rPr>
                <w:sz w:val="22"/>
                <w:szCs w:val="22"/>
                <w:lang w:val="en-US"/>
              </w:rPr>
            </w:pPr>
            <w:r w:rsidRPr="001D45AB">
              <w:rPr>
                <w:sz w:val="22"/>
                <w:szCs w:val="22"/>
                <w:lang w:val="en-US"/>
              </w:rPr>
              <w:lastRenderedPageBreak/>
              <w:t>N</w:t>
            </w:r>
            <w:r w:rsidR="005F2A24" w:rsidRPr="001D45AB">
              <w:rPr>
                <w:sz w:val="22"/>
                <w:szCs w:val="22"/>
                <w:lang w:val="en-US"/>
              </w:rPr>
              <w:t xml:space="preserve">o company </w:t>
            </w:r>
            <w:r w:rsidRPr="001D45AB">
              <w:rPr>
                <w:sz w:val="22"/>
                <w:szCs w:val="22"/>
                <w:lang w:val="en-US"/>
              </w:rPr>
              <w:t xml:space="preserve">qualification </w:t>
            </w:r>
            <w:r w:rsidR="005F2A24" w:rsidRPr="001D45AB">
              <w:rPr>
                <w:sz w:val="22"/>
                <w:szCs w:val="22"/>
                <w:lang w:val="en-US"/>
              </w:rPr>
              <w:t xml:space="preserve">reference </w:t>
            </w:r>
            <w:r w:rsidRPr="001D45AB">
              <w:rPr>
                <w:sz w:val="22"/>
                <w:szCs w:val="22"/>
                <w:lang w:val="en-US"/>
              </w:rPr>
              <w:t xml:space="preserve">is </w:t>
            </w:r>
            <w:r w:rsidR="005F2A24" w:rsidRPr="001D45AB">
              <w:rPr>
                <w:sz w:val="22"/>
                <w:szCs w:val="22"/>
                <w:lang w:val="en-US"/>
              </w:rPr>
              <w:t>require</w:t>
            </w:r>
            <w:r w:rsidRPr="001D45AB">
              <w:rPr>
                <w:sz w:val="22"/>
                <w:szCs w:val="22"/>
                <w:lang w:val="en-US"/>
              </w:rPr>
              <w:t>d</w:t>
            </w:r>
            <w:r w:rsidR="005F2A24" w:rsidRPr="001D45AB">
              <w:rPr>
                <w:sz w:val="22"/>
                <w:szCs w:val="22"/>
                <w:lang w:val="en-US"/>
              </w:rPr>
              <w:t xml:space="preserve"> for this procurement.</w:t>
            </w:r>
          </w:p>
        </w:tc>
      </w:tr>
      <w:tr w:rsidR="00F0088D" w:rsidRPr="001D45AB" w14:paraId="2E1B9AED" w14:textId="77777777" w:rsidTr="00F425C0">
        <w:tc>
          <w:tcPr>
            <w:tcW w:w="588" w:type="dxa"/>
          </w:tcPr>
          <w:p w14:paraId="2F5712AE" w14:textId="384AEE7F" w:rsidR="00F0088D" w:rsidRPr="001D45AB" w:rsidRDefault="0045112F" w:rsidP="00F0088D">
            <w:pPr>
              <w:jc w:val="right"/>
              <w:rPr>
                <w:sz w:val="22"/>
                <w:szCs w:val="22"/>
                <w:lang w:val="sv-SE"/>
              </w:rPr>
            </w:pPr>
            <w:r w:rsidRPr="001D45AB">
              <w:rPr>
                <w:sz w:val="22"/>
                <w:szCs w:val="22"/>
                <w:lang w:val="sv-SE"/>
              </w:rPr>
              <w:t>10</w:t>
            </w:r>
          </w:p>
        </w:tc>
        <w:tc>
          <w:tcPr>
            <w:tcW w:w="4293" w:type="dxa"/>
          </w:tcPr>
          <w:p w14:paraId="17CD8C84" w14:textId="50F05A4D" w:rsidR="00F0088D" w:rsidRPr="001D45AB" w:rsidRDefault="0045112F" w:rsidP="002C5DF1">
            <w:pPr>
              <w:rPr>
                <w:sz w:val="22"/>
                <w:szCs w:val="22"/>
              </w:rPr>
            </w:pPr>
            <w:r w:rsidRPr="001D45AB">
              <w:rPr>
                <w:sz w:val="22"/>
                <w:szCs w:val="22"/>
                <w:lang w:val="en-US"/>
              </w:rPr>
              <w:t>We understand that this offer is a retendering process and that this is now being procured through the Sida/the Swedish Embassy in Albania. The previous procurement followed EU procedure and the project contract would follow EU standard conditions. Do we understand correctly that this procurement and the implementation that will follow, will follow Sida procurement rules and contracting conditions only?  </w:t>
            </w:r>
          </w:p>
        </w:tc>
        <w:tc>
          <w:tcPr>
            <w:tcW w:w="4282" w:type="dxa"/>
          </w:tcPr>
          <w:p w14:paraId="6C3E418A" w14:textId="16B548FF" w:rsidR="00DE6F56" w:rsidRPr="001D45AB" w:rsidRDefault="00DE6F56" w:rsidP="002C5DF1">
            <w:pPr>
              <w:rPr>
                <w:sz w:val="22"/>
                <w:szCs w:val="22"/>
                <w:lang w:val="en-US"/>
              </w:rPr>
            </w:pPr>
            <w:r w:rsidRPr="001D45AB">
              <w:rPr>
                <w:sz w:val="22"/>
                <w:szCs w:val="22"/>
                <w:lang w:val="en-US"/>
              </w:rPr>
              <w:t>T</w:t>
            </w:r>
            <w:r w:rsidR="005F2A24" w:rsidRPr="001D45AB">
              <w:rPr>
                <w:sz w:val="22"/>
                <w:szCs w:val="22"/>
                <w:lang w:val="en-US"/>
              </w:rPr>
              <w:t>h</w:t>
            </w:r>
            <w:r w:rsidR="00520092" w:rsidRPr="001D45AB">
              <w:rPr>
                <w:sz w:val="22"/>
                <w:szCs w:val="22"/>
                <w:lang w:val="en-US"/>
              </w:rPr>
              <w:t>e</w:t>
            </w:r>
            <w:r w:rsidR="005F2A24" w:rsidRPr="001D45AB">
              <w:rPr>
                <w:sz w:val="22"/>
                <w:szCs w:val="22"/>
                <w:lang w:val="en-US"/>
              </w:rPr>
              <w:t xml:space="preserve"> procurement</w:t>
            </w:r>
            <w:r w:rsidRPr="001D45AB">
              <w:rPr>
                <w:sz w:val="22"/>
                <w:szCs w:val="22"/>
                <w:lang w:val="en-US"/>
              </w:rPr>
              <w:t xml:space="preserve"> and implementation</w:t>
            </w:r>
            <w:r w:rsidR="005F2A24" w:rsidRPr="001D45AB">
              <w:rPr>
                <w:sz w:val="22"/>
                <w:szCs w:val="22"/>
                <w:lang w:val="en-US"/>
              </w:rPr>
              <w:t xml:space="preserve"> </w:t>
            </w:r>
            <w:r w:rsidR="00520092" w:rsidRPr="001D45AB">
              <w:rPr>
                <w:sz w:val="22"/>
                <w:szCs w:val="22"/>
                <w:lang w:val="en-US"/>
              </w:rPr>
              <w:t xml:space="preserve">of this project </w:t>
            </w:r>
            <w:r w:rsidRPr="001D45AB">
              <w:rPr>
                <w:sz w:val="22"/>
                <w:szCs w:val="22"/>
                <w:lang w:val="en-US"/>
              </w:rPr>
              <w:t xml:space="preserve">follow the Swedish Public Procurement Act and </w:t>
            </w:r>
            <w:r w:rsidR="00520092" w:rsidRPr="001D45AB">
              <w:rPr>
                <w:sz w:val="22"/>
                <w:szCs w:val="22"/>
                <w:lang w:val="en-US"/>
              </w:rPr>
              <w:t xml:space="preserve">the </w:t>
            </w:r>
            <w:proofErr w:type="spellStart"/>
            <w:r w:rsidRPr="001D45AB">
              <w:rPr>
                <w:sz w:val="22"/>
                <w:szCs w:val="22"/>
                <w:lang w:val="en-US"/>
              </w:rPr>
              <w:t>Sida’s</w:t>
            </w:r>
            <w:proofErr w:type="spellEnd"/>
            <w:r w:rsidRPr="001D45AB">
              <w:rPr>
                <w:sz w:val="22"/>
                <w:szCs w:val="22"/>
                <w:lang w:val="en-US"/>
              </w:rPr>
              <w:t xml:space="preserve"> General Conditions </w:t>
            </w:r>
            <w:r w:rsidR="00B872F5" w:rsidRPr="001D45AB">
              <w:rPr>
                <w:sz w:val="22"/>
                <w:szCs w:val="22"/>
                <w:lang w:val="en-US"/>
              </w:rPr>
              <w:t>for Framework Agreements and Contracts.</w:t>
            </w:r>
          </w:p>
          <w:p w14:paraId="66C60279" w14:textId="77777777" w:rsidR="00DE6F56" w:rsidRPr="001D45AB" w:rsidRDefault="00DE6F56" w:rsidP="002C5DF1">
            <w:pPr>
              <w:rPr>
                <w:sz w:val="22"/>
                <w:szCs w:val="22"/>
                <w:lang w:val="en-US"/>
              </w:rPr>
            </w:pPr>
          </w:p>
          <w:p w14:paraId="43945F5F" w14:textId="6A8CA244" w:rsidR="00F0088D" w:rsidRPr="001D45AB" w:rsidRDefault="00F0088D" w:rsidP="002C5DF1">
            <w:pPr>
              <w:rPr>
                <w:sz w:val="22"/>
                <w:szCs w:val="22"/>
                <w:lang w:val="en-US"/>
              </w:rPr>
            </w:pPr>
          </w:p>
        </w:tc>
      </w:tr>
      <w:tr w:rsidR="00F0088D" w:rsidRPr="001D45AB" w14:paraId="2EF61EC4" w14:textId="77777777" w:rsidTr="00F425C0">
        <w:tc>
          <w:tcPr>
            <w:tcW w:w="588" w:type="dxa"/>
          </w:tcPr>
          <w:p w14:paraId="1F86D0BA" w14:textId="3376554A" w:rsidR="00F0088D" w:rsidRPr="001D45AB" w:rsidRDefault="0045112F" w:rsidP="00F0088D">
            <w:pPr>
              <w:jc w:val="right"/>
              <w:rPr>
                <w:sz w:val="22"/>
                <w:szCs w:val="22"/>
                <w:lang w:val="sv-SE"/>
              </w:rPr>
            </w:pPr>
            <w:r w:rsidRPr="001D45AB">
              <w:rPr>
                <w:sz w:val="22"/>
                <w:szCs w:val="22"/>
                <w:lang w:val="sv-SE"/>
              </w:rPr>
              <w:t>11</w:t>
            </w:r>
          </w:p>
        </w:tc>
        <w:tc>
          <w:tcPr>
            <w:tcW w:w="4293" w:type="dxa"/>
          </w:tcPr>
          <w:p w14:paraId="741340A6" w14:textId="232D1B2F" w:rsidR="00F0088D" w:rsidRPr="001D45AB" w:rsidRDefault="0045112F" w:rsidP="002C5DF1">
            <w:pPr>
              <w:rPr>
                <w:sz w:val="22"/>
                <w:szCs w:val="22"/>
              </w:rPr>
            </w:pPr>
            <w:r w:rsidRPr="001D45AB">
              <w:rPr>
                <w:sz w:val="22"/>
                <w:szCs w:val="22"/>
                <w:lang w:val="en-US"/>
              </w:rPr>
              <w:t>The given deadline of 30 days seems to be rather short for preparation of full technical proposal with 4 key experts. We would like to enquire if you could consider extending the deadline?</w:t>
            </w:r>
          </w:p>
        </w:tc>
        <w:tc>
          <w:tcPr>
            <w:tcW w:w="4282" w:type="dxa"/>
          </w:tcPr>
          <w:p w14:paraId="21A4163E" w14:textId="3974EDC3" w:rsidR="00F0088D" w:rsidRPr="001D45AB" w:rsidRDefault="005F2A24" w:rsidP="002C5DF1">
            <w:pPr>
              <w:rPr>
                <w:sz w:val="22"/>
                <w:szCs w:val="22"/>
                <w:lang w:val="en-US"/>
              </w:rPr>
            </w:pPr>
            <w:r w:rsidRPr="001D45AB">
              <w:rPr>
                <w:sz w:val="22"/>
                <w:szCs w:val="22"/>
                <w:lang w:val="en-US"/>
              </w:rPr>
              <w:t>No, the tender submission period cannot be extended.</w:t>
            </w:r>
          </w:p>
        </w:tc>
      </w:tr>
      <w:tr w:rsidR="00313053" w:rsidRPr="001D45AB" w14:paraId="038E3E1A" w14:textId="77777777" w:rsidTr="00F425C0">
        <w:tc>
          <w:tcPr>
            <w:tcW w:w="588" w:type="dxa"/>
          </w:tcPr>
          <w:p w14:paraId="2BDA836E" w14:textId="307AB400" w:rsidR="00313053" w:rsidRPr="001D45AB" w:rsidRDefault="00313053" w:rsidP="00313053">
            <w:pPr>
              <w:jc w:val="right"/>
              <w:rPr>
                <w:sz w:val="22"/>
                <w:szCs w:val="22"/>
                <w:lang w:val="sv-SE"/>
              </w:rPr>
            </w:pPr>
            <w:r w:rsidRPr="001D45AB">
              <w:rPr>
                <w:sz w:val="22"/>
                <w:szCs w:val="22"/>
                <w:lang w:val="sv-SE"/>
              </w:rPr>
              <w:t>12</w:t>
            </w:r>
          </w:p>
        </w:tc>
        <w:tc>
          <w:tcPr>
            <w:tcW w:w="4293" w:type="dxa"/>
          </w:tcPr>
          <w:p w14:paraId="78F0DA37" w14:textId="4F30AA5C" w:rsidR="00313053" w:rsidRPr="001D45AB" w:rsidRDefault="00313053" w:rsidP="00313053">
            <w:pPr>
              <w:rPr>
                <w:sz w:val="22"/>
                <w:szCs w:val="22"/>
              </w:rPr>
            </w:pPr>
            <w:r w:rsidRPr="001D45AB">
              <w:rPr>
                <w:sz w:val="22"/>
                <w:szCs w:val="22"/>
                <w:lang w:val="en-US"/>
              </w:rPr>
              <w:t xml:space="preserve">There is a difference in </w:t>
            </w:r>
            <w:proofErr w:type="gramStart"/>
            <w:r w:rsidRPr="001D45AB">
              <w:rPr>
                <w:sz w:val="22"/>
                <w:szCs w:val="22"/>
                <w:lang w:val="en-US"/>
              </w:rPr>
              <w:t>experts</w:t>
            </w:r>
            <w:proofErr w:type="gramEnd"/>
            <w:r w:rsidRPr="001D45AB">
              <w:rPr>
                <w:sz w:val="22"/>
                <w:szCs w:val="22"/>
                <w:lang w:val="en-US"/>
              </w:rPr>
              <w:t xml:space="preserve"> qualifications and competences between the Procurement Document AMBU and Appendix 1 Terms of Reference. Can you please clarify which of the two is prevailing?</w:t>
            </w:r>
          </w:p>
        </w:tc>
        <w:tc>
          <w:tcPr>
            <w:tcW w:w="4282" w:type="dxa"/>
          </w:tcPr>
          <w:p w14:paraId="4AF06638" w14:textId="71B11A63" w:rsidR="00313053" w:rsidRPr="001D45AB" w:rsidRDefault="00313053" w:rsidP="00313053">
            <w:pPr>
              <w:rPr>
                <w:sz w:val="22"/>
                <w:szCs w:val="22"/>
                <w:lang w:val="en-US"/>
              </w:rPr>
            </w:pPr>
            <w:r w:rsidRPr="001D45AB">
              <w:rPr>
                <w:sz w:val="22"/>
                <w:szCs w:val="22"/>
                <w:lang w:val="en-US"/>
              </w:rPr>
              <w:t xml:space="preserve">The Procurement Document has precedence over the Terms of Reference in case of any discrepancy/difference between the two. </w:t>
            </w:r>
          </w:p>
        </w:tc>
      </w:tr>
      <w:tr w:rsidR="00313053" w:rsidRPr="001D45AB" w14:paraId="04F22EEA" w14:textId="77777777" w:rsidTr="00F425C0">
        <w:tc>
          <w:tcPr>
            <w:tcW w:w="588" w:type="dxa"/>
          </w:tcPr>
          <w:p w14:paraId="6F6957C6" w14:textId="48F0424C" w:rsidR="00313053" w:rsidRPr="001D45AB" w:rsidRDefault="00313053" w:rsidP="00313053">
            <w:pPr>
              <w:jc w:val="right"/>
              <w:rPr>
                <w:sz w:val="22"/>
                <w:szCs w:val="22"/>
                <w:lang w:val="sv-SE"/>
              </w:rPr>
            </w:pPr>
            <w:r w:rsidRPr="001D45AB">
              <w:rPr>
                <w:sz w:val="22"/>
                <w:szCs w:val="22"/>
                <w:lang w:val="sv-SE"/>
              </w:rPr>
              <w:t>13</w:t>
            </w:r>
          </w:p>
        </w:tc>
        <w:tc>
          <w:tcPr>
            <w:tcW w:w="4293" w:type="dxa"/>
          </w:tcPr>
          <w:p w14:paraId="37593646" w14:textId="5D2A76C4" w:rsidR="00313053" w:rsidRPr="001D45AB" w:rsidRDefault="00313053" w:rsidP="00313053">
            <w:pPr>
              <w:rPr>
                <w:sz w:val="22"/>
                <w:szCs w:val="22"/>
              </w:rPr>
            </w:pPr>
            <w:r w:rsidRPr="001D45AB">
              <w:rPr>
                <w:sz w:val="22"/>
                <w:szCs w:val="22"/>
                <w:lang w:val="en-US"/>
              </w:rPr>
              <w:t>According to the information available on the webpage of Central Finance and Contracting Unit in Albania (</w:t>
            </w:r>
            <w:hyperlink r:id="rId5" w:tgtFrame="_blank" w:history="1">
              <w:r w:rsidRPr="001D45AB">
                <w:rPr>
                  <w:rStyle w:val="Hyperlink"/>
                  <w:sz w:val="22"/>
                  <w:szCs w:val="22"/>
                  <w:lang w:val="en-US"/>
                </w:rPr>
                <w:t>https://cfcu.financa.gov.al/en/sida-2/</w:t>
              </w:r>
            </w:hyperlink>
            <w:r w:rsidRPr="001D45AB">
              <w:rPr>
                <w:sz w:val="22"/>
                <w:szCs w:val="22"/>
                <w:lang w:val="en-US"/>
              </w:rPr>
              <w:t xml:space="preserve">), the implementation deadline for this project “Institutional Capacity Building of the Water Resources Management (AMBU)” expires on July 2022. We would like to enquire if this refers to the duration of the project once implementation starts, or it refers to the deadline by when the contract has to be signed? </w:t>
            </w:r>
          </w:p>
        </w:tc>
        <w:tc>
          <w:tcPr>
            <w:tcW w:w="4282" w:type="dxa"/>
          </w:tcPr>
          <w:p w14:paraId="7483F245" w14:textId="05916CEE" w:rsidR="00313053" w:rsidRPr="001D45AB" w:rsidRDefault="00313053" w:rsidP="00313053">
            <w:pPr>
              <w:rPr>
                <w:sz w:val="22"/>
                <w:szCs w:val="22"/>
                <w:lang w:val="en-US"/>
              </w:rPr>
            </w:pPr>
            <w:r w:rsidRPr="001D45AB">
              <w:rPr>
                <w:sz w:val="22"/>
                <w:szCs w:val="22"/>
                <w:lang w:val="en-US"/>
              </w:rPr>
              <w:t>The information provided on that link is not relevant to the current procurement.</w:t>
            </w:r>
          </w:p>
        </w:tc>
      </w:tr>
      <w:tr w:rsidR="00313053" w:rsidRPr="001D45AB" w14:paraId="4B679FF7" w14:textId="77777777" w:rsidTr="00F425C0">
        <w:tc>
          <w:tcPr>
            <w:tcW w:w="588" w:type="dxa"/>
          </w:tcPr>
          <w:p w14:paraId="713B0496" w14:textId="3E33D6C5" w:rsidR="00313053" w:rsidRPr="001D45AB" w:rsidRDefault="00313053" w:rsidP="00313053">
            <w:pPr>
              <w:jc w:val="right"/>
              <w:rPr>
                <w:sz w:val="22"/>
                <w:szCs w:val="22"/>
                <w:lang w:val="en-US"/>
              </w:rPr>
            </w:pPr>
            <w:r w:rsidRPr="001D45AB">
              <w:rPr>
                <w:sz w:val="22"/>
                <w:szCs w:val="22"/>
                <w:lang w:val="en-US"/>
              </w:rPr>
              <w:t>14</w:t>
            </w:r>
          </w:p>
        </w:tc>
        <w:tc>
          <w:tcPr>
            <w:tcW w:w="4293" w:type="dxa"/>
          </w:tcPr>
          <w:p w14:paraId="002BE15D" w14:textId="7932191D" w:rsidR="00313053" w:rsidRPr="001D45AB" w:rsidRDefault="00313053" w:rsidP="00313053">
            <w:pPr>
              <w:rPr>
                <w:sz w:val="22"/>
                <w:szCs w:val="22"/>
              </w:rPr>
            </w:pPr>
            <w:r w:rsidRPr="001D45AB">
              <w:rPr>
                <w:sz w:val="22"/>
                <w:szCs w:val="22"/>
              </w:rPr>
              <w:t>Shall we submit separately the technical and financial proposal? If so, should we submit the technical and financial proposal in one single e-mail or in two separate e-mails? Is there any requirements for the technical and / or financial proposal documents submission (e.g. password saved files shall be submitted)?</w:t>
            </w:r>
          </w:p>
        </w:tc>
        <w:tc>
          <w:tcPr>
            <w:tcW w:w="4282" w:type="dxa"/>
          </w:tcPr>
          <w:p w14:paraId="52ED3A16" w14:textId="5EF429D6" w:rsidR="00313053" w:rsidRPr="001D45AB" w:rsidRDefault="00313053" w:rsidP="00313053">
            <w:pPr>
              <w:rPr>
                <w:sz w:val="22"/>
                <w:szCs w:val="22"/>
                <w:lang w:val="en-US"/>
              </w:rPr>
            </w:pPr>
            <w:r w:rsidRPr="001D45AB">
              <w:rPr>
                <w:sz w:val="22"/>
                <w:szCs w:val="22"/>
                <w:lang w:val="en-US"/>
              </w:rPr>
              <w:t>The technical and financial proposals shall be different documents, but they can be submitted in the same e-mail message. There is no requirement for password protection of the files. Please see also #16 below.</w:t>
            </w:r>
          </w:p>
          <w:p w14:paraId="2E714B6F" w14:textId="08709B1A" w:rsidR="00313053" w:rsidRPr="001D45AB" w:rsidRDefault="00313053" w:rsidP="00313053">
            <w:pPr>
              <w:rPr>
                <w:sz w:val="22"/>
                <w:szCs w:val="22"/>
                <w:lang w:val="en-US"/>
              </w:rPr>
            </w:pPr>
          </w:p>
        </w:tc>
      </w:tr>
      <w:tr w:rsidR="00313053" w:rsidRPr="001D45AB" w14:paraId="3B8A686C" w14:textId="77777777" w:rsidTr="00F425C0">
        <w:tc>
          <w:tcPr>
            <w:tcW w:w="588" w:type="dxa"/>
          </w:tcPr>
          <w:p w14:paraId="69BCC5F8" w14:textId="07354883" w:rsidR="00313053" w:rsidRPr="001D45AB" w:rsidRDefault="00313053" w:rsidP="00313053">
            <w:pPr>
              <w:jc w:val="right"/>
              <w:rPr>
                <w:sz w:val="22"/>
                <w:szCs w:val="22"/>
                <w:lang w:val="en-US"/>
              </w:rPr>
            </w:pPr>
            <w:r w:rsidRPr="001D45AB">
              <w:rPr>
                <w:sz w:val="22"/>
                <w:szCs w:val="22"/>
                <w:lang w:val="en-US"/>
              </w:rPr>
              <w:t>15</w:t>
            </w:r>
          </w:p>
        </w:tc>
        <w:tc>
          <w:tcPr>
            <w:tcW w:w="4293" w:type="dxa"/>
          </w:tcPr>
          <w:p w14:paraId="0A03BAB3" w14:textId="438C0935" w:rsidR="00313053" w:rsidRPr="001D45AB" w:rsidRDefault="00313053" w:rsidP="00313053">
            <w:pPr>
              <w:rPr>
                <w:sz w:val="22"/>
                <w:szCs w:val="22"/>
              </w:rPr>
            </w:pPr>
            <w:r w:rsidRPr="001D45AB">
              <w:rPr>
                <w:sz w:val="22"/>
                <w:szCs w:val="22"/>
              </w:rPr>
              <w:t xml:space="preserve">The Procurement Document on page 12. says that "The tender shall include the CVs of each of the proposed team members (including the project leader)." Could you please clarify whether the project leader is meant to be the Team Leader (Key Expert 1) or the Project Manager of the Consultant meaning that besides the four key expert CVs the CV of the proposed Project Manager shall also needs to be submitted? </w:t>
            </w:r>
          </w:p>
        </w:tc>
        <w:tc>
          <w:tcPr>
            <w:tcW w:w="4282" w:type="dxa"/>
          </w:tcPr>
          <w:p w14:paraId="4C1E2551" w14:textId="3ED3E220" w:rsidR="00313053" w:rsidRPr="001D45AB" w:rsidRDefault="00313053" w:rsidP="00313053">
            <w:pPr>
              <w:rPr>
                <w:sz w:val="22"/>
                <w:szCs w:val="22"/>
                <w:lang w:val="en-US"/>
              </w:rPr>
            </w:pPr>
            <w:r w:rsidRPr="001D45AB">
              <w:rPr>
                <w:sz w:val="22"/>
                <w:szCs w:val="22"/>
                <w:lang w:val="en-US"/>
              </w:rPr>
              <w:t>CVs shall be submitted only for the four Key Experts.</w:t>
            </w:r>
          </w:p>
        </w:tc>
      </w:tr>
      <w:tr w:rsidR="00313053" w:rsidRPr="001D45AB" w14:paraId="1B8B84FC" w14:textId="77777777" w:rsidTr="00F425C0">
        <w:tc>
          <w:tcPr>
            <w:tcW w:w="588" w:type="dxa"/>
          </w:tcPr>
          <w:p w14:paraId="3434116F" w14:textId="793BC8EA" w:rsidR="00313053" w:rsidRPr="001D45AB" w:rsidRDefault="00313053" w:rsidP="00313053">
            <w:pPr>
              <w:jc w:val="right"/>
              <w:rPr>
                <w:sz w:val="22"/>
                <w:szCs w:val="22"/>
                <w:lang w:val="en-US"/>
              </w:rPr>
            </w:pPr>
            <w:r w:rsidRPr="001D45AB">
              <w:rPr>
                <w:sz w:val="22"/>
                <w:szCs w:val="22"/>
                <w:lang w:val="en-US"/>
              </w:rPr>
              <w:lastRenderedPageBreak/>
              <w:t>16</w:t>
            </w:r>
          </w:p>
        </w:tc>
        <w:tc>
          <w:tcPr>
            <w:tcW w:w="4293" w:type="dxa"/>
          </w:tcPr>
          <w:p w14:paraId="7552D3DF" w14:textId="77777777" w:rsidR="00313053" w:rsidRPr="001D45AB" w:rsidRDefault="00313053" w:rsidP="00313053">
            <w:pPr>
              <w:rPr>
                <w:sz w:val="22"/>
                <w:szCs w:val="22"/>
              </w:rPr>
            </w:pPr>
            <w:proofErr w:type="gramStart"/>
            <w:r w:rsidRPr="001D45AB">
              <w:rPr>
                <w:sz w:val="22"/>
                <w:szCs w:val="22"/>
              </w:rPr>
              <w:t>Please  inform</w:t>
            </w:r>
            <w:proofErr w:type="gramEnd"/>
            <w:r w:rsidRPr="001D45AB">
              <w:rPr>
                <w:sz w:val="22"/>
                <w:szCs w:val="22"/>
              </w:rPr>
              <w:t xml:space="preserve"> us about the  max PDF size allowed per each file, namely: TECHNICAL AND FINANCIAL OFFER.</w:t>
            </w:r>
          </w:p>
          <w:p w14:paraId="4C8D9741" w14:textId="23AE6B30" w:rsidR="00313053" w:rsidRPr="001D45AB" w:rsidRDefault="00313053" w:rsidP="00313053">
            <w:pPr>
              <w:rPr>
                <w:sz w:val="22"/>
                <w:szCs w:val="22"/>
              </w:rPr>
            </w:pPr>
            <w:r w:rsidRPr="001D45AB">
              <w:rPr>
                <w:sz w:val="22"/>
                <w:szCs w:val="22"/>
              </w:rPr>
              <w:t>Should each file exceed the size, is it possible to share in multiple e-mails?</w:t>
            </w:r>
          </w:p>
        </w:tc>
        <w:tc>
          <w:tcPr>
            <w:tcW w:w="4282" w:type="dxa"/>
          </w:tcPr>
          <w:p w14:paraId="6EF080D6" w14:textId="2F0A66AF" w:rsidR="00313053" w:rsidRPr="001D45AB" w:rsidRDefault="00313053" w:rsidP="00313053">
            <w:pPr>
              <w:rPr>
                <w:sz w:val="22"/>
                <w:szCs w:val="22"/>
                <w:lang w:val="en-US"/>
              </w:rPr>
            </w:pPr>
            <w:r w:rsidRPr="001D45AB">
              <w:rPr>
                <w:sz w:val="22"/>
                <w:szCs w:val="22"/>
                <w:lang w:val="en-US"/>
              </w:rPr>
              <w:t>The maximum size of documents to be sent as e-mail is 25MB. Should the size be larger than that, it is preferred that the documents are submitted through a file-sharing site such as WeTransfer or similar.</w:t>
            </w:r>
          </w:p>
        </w:tc>
      </w:tr>
      <w:tr w:rsidR="00313053" w:rsidRPr="001D45AB" w14:paraId="15F9CBD9" w14:textId="77777777" w:rsidTr="00F425C0">
        <w:tc>
          <w:tcPr>
            <w:tcW w:w="588" w:type="dxa"/>
          </w:tcPr>
          <w:p w14:paraId="6E8371A9" w14:textId="599A26BC" w:rsidR="00313053" w:rsidRPr="001D45AB" w:rsidRDefault="00313053" w:rsidP="00313053">
            <w:pPr>
              <w:jc w:val="right"/>
              <w:rPr>
                <w:sz w:val="22"/>
                <w:szCs w:val="22"/>
                <w:lang w:val="en-US"/>
              </w:rPr>
            </w:pPr>
            <w:r w:rsidRPr="001D45AB">
              <w:rPr>
                <w:sz w:val="22"/>
                <w:szCs w:val="22"/>
                <w:lang w:val="en-US"/>
              </w:rPr>
              <w:t>17</w:t>
            </w:r>
          </w:p>
        </w:tc>
        <w:tc>
          <w:tcPr>
            <w:tcW w:w="4293" w:type="dxa"/>
          </w:tcPr>
          <w:p w14:paraId="09CCD27E" w14:textId="77777777" w:rsidR="00313053" w:rsidRPr="001D45AB" w:rsidRDefault="00313053" w:rsidP="00313053">
            <w:pPr>
              <w:autoSpaceDE w:val="0"/>
              <w:autoSpaceDN w:val="0"/>
              <w:rPr>
                <w:sz w:val="22"/>
                <w:szCs w:val="22"/>
              </w:rPr>
            </w:pPr>
            <w:r w:rsidRPr="001D45AB">
              <w:rPr>
                <w:sz w:val="22"/>
                <w:szCs w:val="22"/>
              </w:rPr>
              <w:t>3. Requirements for tenderers</w:t>
            </w:r>
          </w:p>
          <w:p w14:paraId="11B3D73C" w14:textId="77777777" w:rsidR="00313053" w:rsidRPr="001D45AB" w:rsidRDefault="00313053" w:rsidP="00313053">
            <w:pPr>
              <w:autoSpaceDE w:val="0"/>
              <w:autoSpaceDN w:val="0"/>
              <w:rPr>
                <w:sz w:val="22"/>
                <w:szCs w:val="22"/>
              </w:rPr>
            </w:pPr>
            <w:r w:rsidRPr="001D45AB">
              <w:rPr>
                <w:sz w:val="22"/>
                <w:szCs w:val="22"/>
              </w:rPr>
              <w:t>3.1. Self-declaration by tenderers</w:t>
            </w:r>
          </w:p>
          <w:p w14:paraId="3B54D9C3" w14:textId="77777777" w:rsidR="00313053" w:rsidRPr="001D45AB" w:rsidRDefault="00313053" w:rsidP="00313053">
            <w:pPr>
              <w:rPr>
                <w:sz w:val="22"/>
                <w:szCs w:val="22"/>
              </w:rPr>
            </w:pPr>
            <w:r w:rsidRPr="001D45AB">
              <w:rPr>
                <w:sz w:val="22"/>
                <w:szCs w:val="22"/>
              </w:rPr>
              <w:t>Quote</w:t>
            </w:r>
          </w:p>
          <w:p w14:paraId="4132D3D3" w14:textId="77777777" w:rsidR="00313053" w:rsidRPr="001D45AB" w:rsidRDefault="00313053" w:rsidP="00313053">
            <w:pPr>
              <w:autoSpaceDE w:val="0"/>
              <w:autoSpaceDN w:val="0"/>
              <w:rPr>
                <w:sz w:val="22"/>
                <w:szCs w:val="22"/>
              </w:rPr>
            </w:pPr>
            <w:r w:rsidRPr="001D45AB">
              <w:rPr>
                <w:sz w:val="22"/>
                <w:szCs w:val="22"/>
              </w:rPr>
              <w:t>The tenderer shall respond to all requirements in Appendix 4, “Self-Declaration by tenderers”.</w:t>
            </w:r>
          </w:p>
          <w:p w14:paraId="55F51227" w14:textId="762B4BFB" w:rsidR="00313053" w:rsidRPr="001D45AB" w:rsidRDefault="00313053" w:rsidP="00313053">
            <w:pPr>
              <w:autoSpaceDE w:val="0"/>
              <w:autoSpaceDN w:val="0"/>
              <w:rPr>
                <w:sz w:val="22"/>
                <w:szCs w:val="22"/>
              </w:rPr>
            </w:pPr>
            <w:r w:rsidRPr="001D45AB">
              <w:rPr>
                <w:sz w:val="22"/>
                <w:szCs w:val="22"/>
              </w:rPr>
              <w:t>Please note that should the tenderer choose to reuse the ESPD document, the tenderer is obliged to ensure that all requirements in Appendix 4 – Self declaration by tenderers are verified in the ESPD document. The tenderer is advised to have all requested documentation at hand, as it shall</w:t>
            </w:r>
          </w:p>
          <w:p w14:paraId="35C64D77" w14:textId="77777777" w:rsidR="00313053" w:rsidRPr="001D45AB" w:rsidRDefault="00313053" w:rsidP="00313053">
            <w:pPr>
              <w:autoSpaceDE w:val="0"/>
              <w:autoSpaceDN w:val="0"/>
              <w:rPr>
                <w:sz w:val="22"/>
                <w:szCs w:val="22"/>
              </w:rPr>
            </w:pPr>
            <w:r w:rsidRPr="001D45AB">
              <w:rPr>
                <w:sz w:val="22"/>
                <w:szCs w:val="22"/>
              </w:rPr>
              <w:t>be able to provide the information mentioned in section 3.3 “Qualification of tenderers” without delay.</w:t>
            </w:r>
          </w:p>
          <w:p w14:paraId="1396AC45" w14:textId="77777777" w:rsidR="00313053" w:rsidRPr="001D45AB" w:rsidRDefault="00313053" w:rsidP="00313053">
            <w:pPr>
              <w:rPr>
                <w:sz w:val="22"/>
                <w:szCs w:val="22"/>
              </w:rPr>
            </w:pPr>
            <w:r w:rsidRPr="001D45AB">
              <w:rPr>
                <w:sz w:val="22"/>
                <w:szCs w:val="22"/>
              </w:rPr>
              <w:t>Unquote</w:t>
            </w:r>
          </w:p>
          <w:p w14:paraId="165B84F9" w14:textId="77777777" w:rsidR="00313053" w:rsidRPr="001D45AB" w:rsidRDefault="00313053" w:rsidP="00313053">
            <w:pPr>
              <w:autoSpaceDE w:val="0"/>
              <w:autoSpaceDN w:val="0"/>
              <w:rPr>
                <w:sz w:val="22"/>
                <w:szCs w:val="22"/>
              </w:rPr>
            </w:pPr>
            <w:r w:rsidRPr="001D45AB">
              <w:rPr>
                <w:sz w:val="22"/>
                <w:szCs w:val="22"/>
              </w:rPr>
              <w:t xml:space="preserve">To the purpose of participation to the tender, we understand that we have to fill the </w:t>
            </w:r>
            <w:proofErr w:type="spellStart"/>
            <w:r w:rsidRPr="001D45AB">
              <w:rPr>
                <w:sz w:val="22"/>
                <w:szCs w:val="22"/>
              </w:rPr>
              <w:t>self declaration</w:t>
            </w:r>
            <w:proofErr w:type="spellEnd"/>
            <w:r w:rsidRPr="001D45AB">
              <w:rPr>
                <w:sz w:val="22"/>
                <w:szCs w:val="22"/>
              </w:rPr>
              <w:t xml:space="preserve"> by the tenderer- Appendix 4 and that according to further section 3.3. the Embassy may request information or evidence to verify fulfilment of the requirements set forth in the </w:t>
            </w:r>
            <w:proofErr w:type="spellStart"/>
            <w:proofErr w:type="gramStart"/>
            <w:r w:rsidRPr="001D45AB">
              <w:rPr>
                <w:sz w:val="22"/>
                <w:szCs w:val="22"/>
              </w:rPr>
              <w:t>section“</w:t>
            </w:r>
            <w:proofErr w:type="gramEnd"/>
            <w:r w:rsidRPr="001D45AB">
              <w:rPr>
                <w:sz w:val="22"/>
                <w:szCs w:val="22"/>
              </w:rPr>
              <w:t>Requirements</w:t>
            </w:r>
            <w:proofErr w:type="spellEnd"/>
            <w:r w:rsidRPr="001D45AB">
              <w:rPr>
                <w:sz w:val="22"/>
                <w:szCs w:val="22"/>
              </w:rPr>
              <w:t xml:space="preserve"> for tenderers” and the information submitted in Appendix 4 “Self-Declaration by tenderers”.</w:t>
            </w:r>
          </w:p>
          <w:p w14:paraId="43AC4D57" w14:textId="5008F6E2" w:rsidR="00313053" w:rsidRPr="001D45AB" w:rsidRDefault="00313053" w:rsidP="00313053">
            <w:pPr>
              <w:rPr>
                <w:sz w:val="22"/>
                <w:szCs w:val="22"/>
              </w:rPr>
            </w:pPr>
            <w:r w:rsidRPr="001D45AB">
              <w:rPr>
                <w:sz w:val="22"/>
                <w:szCs w:val="22"/>
              </w:rPr>
              <w:t xml:space="preserve">As we did not fill the ESPD on our supplier page, </w:t>
            </w:r>
            <w:hyperlink r:id="rId6" w:tgtFrame="_blank" w:history="1">
              <w:proofErr w:type="spellStart"/>
              <w:r w:rsidRPr="001D45AB">
                <w:rPr>
                  <w:rStyle w:val="Hyperlink"/>
                  <w:sz w:val="22"/>
                  <w:szCs w:val="22"/>
                </w:rPr>
                <w:t>Kommers</w:t>
              </w:r>
              <w:proofErr w:type="spellEnd"/>
              <w:r w:rsidRPr="001D45AB">
                <w:rPr>
                  <w:rStyle w:val="Hyperlink"/>
                  <w:sz w:val="22"/>
                  <w:szCs w:val="22"/>
                </w:rPr>
                <w:t xml:space="preserve"> Annons </w:t>
              </w:r>
              <w:proofErr w:type="spellStart"/>
              <w:r w:rsidRPr="001D45AB">
                <w:rPr>
                  <w:rStyle w:val="Hyperlink"/>
                  <w:sz w:val="22"/>
                  <w:szCs w:val="22"/>
                </w:rPr>
                <w:t>eLite</w:t>
              </w:r>
              <w:proofErr w:type="spellEnd"/>
            </w:hyperlink>
            <w:r w:rsidRPr="001D45AB">
              <w:rPr>
                <w:sz w:val="22"/>
                <w:szCs w:val="22"/>
              </w:rPr>
              <w:t xml:space="preserve">, </w:t>
            </w:r>
            <w:r w:rsidRPr="001D45AB">
              <w:rPr>
                <w:sz w:val="22"/>
                <w:szCs w:val="22"/>
                <w:u w:val="single"/>
              </w:rPr>
              <w:t>pls confirm us that it is not compulsory to the participation of this tender.</w:t>
            </w:r>
          </w:p>
        </w:tc>
        <w:tc>
          <w:tcPr>
            <w:tcW w:w="4282" w:type="dxa"/>
          </w:tcPr>
          <w:p w14:paraId="441FE0A4" w14:textId="02F41F50" w:rsidR="00313053" w:rsidRPr="001D45AB" w:rsidRDefault="00313053" w:rsidP="00313053">
            <w:pPr>
              <w:rPr>
                <w:sz w:val="22"/>
                <w:szCs w:val="22"/>
                <w:lang w:val="en-US"/>
              </w:rPr>
            </w:pPr>
            <w:r w:rsidRPr="001D45AB">
              <w:rPr>
                <w:sz w:val="22"/>
                <w:szCs w:val="22"/>
                <w:lang w:val="en-US"/>
              </w:rPr>
              <w:t>It is not compulsory.</w:t>
            </w:r>
          </w:p>
        </w:tc>
      </w:tr>
      <w:tr w:rsidR="00313053" w:rsidRPr="001D45AB" w14:paraId="254ACA9F" w14:textId="77777777" w:rsidTr="00F425C0">
        <w:tc>
          <w:tcPr>
            <w:tcW w:w="588" w:type="dxa"/>
          </w:tcPr>
          <w:p w14:paraId="59EA8443" w14:textId="398AE2D8" w:rsidR="00313053" w:rsidRPr="001D45AB" w:rsidRDefault="00313053" w:rsidP="00313053">
            <w:pPr>
              <w:jc w:val="right"/>
              <w:rPr>
                <w:sz w:val="22"/>
                <w:szCs w:val="22"/>
                <w:lang w:val="en-US"/>
              </w:rPr>
            </w:pPr>
            <w:r w:rsidRPr="001D45AB">
              <w:rPr>
                <w:sz w:val="22"/>
                <w:szCs w:val="22"/>
                <w:lang w:val="en-US"/>
              </w:rPr>
              <w:t>18</w:t>
            </w:r>
          </w:p>
        </w:tc>
        <w:tc>
          <w:tcPr>
            <w:tcW w:w="4293" w:type="dxa"/>
          </w:tcPr>
          <w:p w14:paraId="14E0DB2E" w14:textId="202D5AC7" w:rsidR="00313053" w:rsidRPr="001D45AB" w:rsidRDefault="00313053" w:rsidP="00313053">
            <w:pPr>
              <w:rPr>
                <w:sz w:val="22"/>
                <w:szCs w:val="22"/>
              </w:rPr>
            </w:pPr>
            <w:r w:rsidRPr="001D45AB">
              <w:rPr>
                <w:sz w:val="22"/>
                <w:szCs w:val="22"/>
              </w:rPr>
              <w:t xml:space="preserve">Even if not requested, please inform us if we may add the proof attesting the </w:t>
            </w:r>
            <w:proofErr w:type="spellStart"/>
            <w:r w:rsidRPr="001D45AB">
              <w:rPr>
                <w:sz w:val="22"/>
                <w:szCs w:val="22"/>
              </w:rPr>
              <w:t>PoA</w:t>
            </w:r>
            <w:proofErr w:type="spellEnd"/>
            <w:r w:rsidRPr="001D45AB">
              <w:rPr>
                <w:sz w:val="22"/>
                <w:szCs w:val="22"/>
              </w:rPr>
              <w:t xml:space="preserve"> on behalf of the authorized signatory. </w:t>
            </w:r>
          </w:p>
        </w:tc>
        <w:tc>
          <w:tcPr>
            <w:tcW w:w="4282" w:type="dxa"/>
          </w:tcPr>
          <w:p w14:paraId="11452937" w14:textId="070043C3" w:rsidR="00313053" w:rsidRPr="001D45AB" w:rsidRDefault="00313053" w:rsidP="00313053">
            <w:pPr>
              <w:rPr>
                <w:sz w:val="22"/>
                <w:szCs w:val="22"/>
                <w:lang w:val="en-US"/>
              </w:rPr>
            </w:pPr>
            <w:r w:rsidRPr="001D45AB">
              <w:rPr>
                <w:sz w:val="22"/>
                <w:szCs w:val="22"/>
                <w:lang w:val="en-US"/>
              </w:rPr>
              <w:t>This is not required.</w:t>
            </w:r>
          </w:p>
        </w:tc>
      </w:tr>
      <w:tr w:rsidR="00313053" w:rsidRPr="001D45AB" w14:paraId="25152628" w14:textId="77777777" w:rsidTr="00F425C0">
        <w:tc>
          <w:tcPr>
            <w:tcW w:w="588" w:type="dxa"/>
          </w:tcPr>
          <w:p w14:paraId="18918AEB" w14:textId="60B9CAC5" w:rsidR="00313053" w:rsidRPr="001D45AB" w:rsidRDefault="00313053" w:rsidP="00313053">
            <w:pPr>
              <w:jc w:val="right"/>
              <w:rPr>
                <w:sz w:val="22"/>
                <w:szCs w:val="22"/>
                <w:lang w:val="en-US"/>
              </w:rPr>
            </w:pPr>
            <w:r w:rsidRPr="001D45AB">
              <w:rPr>
                <w:sz w:val="22"/>
                <w:szCs w:val="22"/>
                <w:lang w:val="en-US"/>
              </w:rPr>
              <w:t>19</w:t>
            </w:r>
          </w:p>
        </w:tc>
        <w:tc>
          <w:tcPr>
            <w:tcW w:w="4293" w:type="dxa"/>
          </w:tcPr>
          <w:p w14:paraId="228B201B" w14:textId="52A4C454" w:rsidR="00313053" w:rsidRPr="001D45AB" w:rsidRDefault="00313053" w:rsidP="00313053">
            <w:pPr>
              <w:rPr>
                <w:sz w:val="22"/>
                <w:szCs w:val="22"/>
              </w:rPr>
            </w:pPr>
            <w:r w:rsidRPr="001D45AB">
              <w:rPr>
                <w:sz w:val="22"/>
                <w:szCs w:val="22"/>
              </w:rPr>
              <w:t xml:space="preserve">Appendix 4, the first </w:t>
            </w:r>
            <w:proofErr w:type="gramStart"/>
            <w:r w:rsidRPr="001D45AB">
              <w:rPr>
                <w:sz w:val="22"/>
                <w:szCs w:val="22"/>
              </w:rPr>
              <w:t>page,  shall</w:t>
            </w:r>
            <w:proofErr w:type="gramEnd"/>
            <w:r w:rsidRPr="001D45AB">
              <w:rPr>
                <w:sz w:val="22"/>
                <w:szCs w:val="22"/>
              </w:rPr>
              <w:t xml:space="preserve"> be printed on company letterhead or not?</w:t>
            </w:r>
          </w:p>
        </w:tc>
        <w:tc>
          <w:tcPr>
            <w:tcW w:w="4282" w:type="dxa"/>
          </w:tcPr>
          <w:p w14:paraId="4E5B7144" w14:textId="160C9F6A" w:rsidR="00313053" w:rsidRPr="001D45AB" w:rsidRDefault="00313053" w:rsidP="00313053">
            <w:pPr>
              <w:rPr>
                <w:sz w:val="22"/>
                <w:szCs w:val="22"/>
                <w:lang w:val="en-US"/>
              </w:rPr>
            </w:pPr>
            <w:r w:rsidRPr="001D45AB">
              <w:rPr>
                <w:sz w:val="22"/>
                <w:szCs w:val="22"/>
                <w:lang w:val="en-US"/>
              </w:rPr>
              <w:t>Printing on company letterhead is not required.</w:t>
            </w:r>
          </w:p>
        </w:tc>
      </w:tr>
      <w:tr w:rsidR="001D45AB" w:rsidRPr="001D45AB" w14:paraId="6703D67D" w14:textId="77777777" w:rsidTr="00F425C0">
        <w:tc>
          <w:tcPr>
            <w:tcW w:w="588" w:type="dxa"/>
          </w:tcPr>
          <w:p w14:paraId="52A25B64" w14:textId="77777777" w:rsidR="001D45AB" w:rsidRPr="001D45AB" w:rsidRDefault="001D45AB" w:rsidP="00313053">
            <w:pPr>
              <w:jc w:val="right"/>
              <w:rPr>
                <w:sz w:val="22"/>
                <w:szCs w:val="22"/>
                <w:lang w:val="en-US"/>
              </w:rPr>
            </w:pPr>
          </w:p>
        </w:tc>
        <w:tc>
          <w:tcPr>
            <w:tcW w:w="4293" w:type="dxa"/>
          </w:tcPr>
          <w:p w14:paraId="3998FB32" w14:textId="0CD510C2" w:rsidR="001D45AB" w:rsidRPr="001D45AB" w:rsidRDefault="001D45AB" w:rsidP="00313053">
            <w:pPr>
              <w:rPr>
                <w:sz w:val="22"/>
                <w:szCs w:val="22"/>
              </w:rPr>
            </w:pPr>
            <w:r w:rsidRPr="00A76AA7">
              <w:rPr>
                <w:sz w:val="22"/>
                <w:szCs w:val="22"/>
                <w:lang w:val="en-US"/>
              </w:rPr>
              <w:t>Section 4.3 of the TOR state that “The responsibility for approving reports, minutes, Consultant invoices, addenda to the contract and any other issue related to the contract lies with AMBU, based on recommendations provided by the Steering Committee where appropriate”. We would expect that some of the listed responsibilities (including approval of invoices and contract addenda) would lie with the Contracting Authority (Embassy of Sweden in Tirana). Could you please clarify?</w:t>
            </w:r>
          </w:p>
        </w:tc>
        <w:tc>
          <w:tcPr>
            <w:tcW w:w="4282" w:type="dxa"/>
          </w:tcPr>
          <w:p w14:paraId="3CE98E46" w14:textId="496BE810" w:rsidR="001D45AB" w:rsidRPr="001D45AB" w:rsidRDefault="00F05E8E" w:rsidP="00313053">
            <w:pPr>
              <w:rPr>
                <w:sz w:val="22"/>
                <w:szCs w:val="22"/>
                <w:lang w:val="en-US"/>
              </w:rPr>
            </w:pPr>
            <w:r>
              <w:rPr>
                <w:sz w:val="22"/>
                <w:szCs w:val="22"/>
                <w:lang w:val="en-US"/>
              </w:rPr>
              <w:t xml:space="preserve">The Embassy has the final responsibility for approval of invoices and contract addenda. </w:t>
            </w:r>
            <w:r w:rsidR="002B6A3A">
              <w:rPr>
                <w:sz w:val="22"/>
                <w:szCs w:val="22"/>
                <w:lang w:val="en-US"/>
              </w:rPr>
              <w:t>The exact distribution of tasks and responsibilities will be agreed during project inception, based on a draft POM.</w:t>
            </w:r>
          </w:p>
        </w:tc>
      </w:tr>
      <w:tr w:rsidR="001D45AB" w:rsidRPr="001D45AB" w14:paraId="105D9685" w14:textId="77777777" w:rsidTr="00F425C0">
        <w:tc>
          <w:tcPr>
            <w:tcW w:w="588" w:type="dxa"/>
          </w:tcPr>
          <w:p w14:paraId="332006DB" w14:textId="77777777" w:rsidR="001D45AB" w:rsidRPr="001D45AB" w:rsidRDefault="001D45AB" w:rsidP="00313053">
            <w:pPr>
              <w:jc w:val="right"/>
              <w:rPr>
                <w:sz w:val="22"/>
                <w:szCs w:val="22"/>
                <w:lang w:val="en-US"/>
              </w:rPr>
            </w:pPr>
          </w:p>
        </w:tc>
        <w:tc>
          <w:tcPr>
            <w:tcW w:w="4293" w:type="dxa"/>
          </w:tcPr>
          <w:p w14:paraId="6EB3D653" w14:textId="46B54638" w:rsidR="001D45AB" w:rsidRPr="001D45AB" w:rsidRDefault="001D45AB" w:rsidP="00313053">
            <w:pPr>
              <w:rPr>
                <w:sz w:val="22"/>
                <w:szCs w:val="22"/>
              </w:rPr>
            </w:pPr>
            <w:r w:rsidRPr="00A76AA7">
              <w:rPr>
                <w:sz w:val="22"/>
                <w:szCs w:val="22"/>
                <w:lang w:val="en-US"/>
              </w:rPr>
              <w:t xml:space="preserve">Section 4.3 of the TOR state that “The Consultants work outputs shall be made </w:t>
            </w:r>
            <w:r w:rsidRPr="00A76AA7">
              <w:rPr>
                <w:sz w:val="22"/>
                <w:szCs w:val="22"/>
                <w:lang w:val="en-US"/>
              </w:rPr>
              <w:lastRenderedPageBreak/>
              <w:t>available for comment and agreement by AMBU, before the Consultant’s next stage progression of the work plan.” To ensure swift implementation of the project, could you please confirm that a reasonable response time (e.g. 2 weeks) can be expected?</w:t>
            </w:r>
          </w:p>
        </w:tc>
        <w:tc>
          <w:tcPr>
            <w:tcW w:w="4282" w:type="dxa"/>
          </w:tcPr>
          <w:p w14:paraId="04321508" w14:textId="33EDF6FA" w:rsidR="001D45AB" w:rsidRPr="001D45AB" w:rsidRDefault="00F05E8E" w:rsidP="00313053">
            <w:pPr>
              <w:rPr>
                <w:sz w:val="22"/>
                <w:szCs w:val="22"/>
                <w:lang w:val="en-US"/>
              </w:rPr>
            </w:pPr>
            <w:r>
              <w:rPr>
                <w:sz w:val="22"/>
                <w:szCs w:val="22"/>
                <w:lang w:val="en-US"/>
              </w:rPr>
              <w:lastRenderedPageBreak/>
              <w:t xml:space="preserve">It is confirmed that there shall be an agreement on reasonable response time, </w:t>
            </w:r>
            <w:r w:rsidR="00436E10">
              <w:rPr>
                <w:sz w:val="22"/>
                <w:szCs w:val="22"/>
                <w:lang w:val="en-US"/>
              </w:rPr>
              <w:t xml:space="preserve">and </w:t>
            </w:r>
            <w:r w:rsidR="00436E10">
              <w:rPr>
                <w:sz w:val="22"/>
                <w:szCs w:val="22"/>
                <w:lang w:val="en-US"/>
              </w:rPr>
              <w:lastRenderedPageBreak/>
              <w:t>the proposal of 2 weeks is accepted by AMBU.</w:t>
            </w:r>
          </w:p>
        </w:tc>
      </w:tr>
      <w:tr w:rsidR="001D45AB" w:rsidRPr="001D45AB" w14:paraId="35D54894" w14:textId="77777777" w:rsidTr="00F425C0">
        <w:tc>
          <w:tcPr>
            <w:tcW w:w="588" w:type="dxa"/>
          </w:tcPr>
          <w:p w14:paraId="2655141E" w14:textId="77777777" w:rsidR="001D45AB" w:rsidRPr="001D45AB" w:rsidRDefault="001D45AB" w:rsidP="00313053">
            <w:pPr>
              <w:jc w:val="right"/>
              <w:rPr>
                <w:sz w:val="22"/>
                <w:szCs w:val="22"/>
                <w:lang w:val="en-US"/>
              </w:rPr>
            </w:pPr>
          </w:p>
        </w:tc>
        <w:tc>
          <w:tcPr>
            <w:tcW w:w="4293" w:type="dxa"/>
          </w:tcPr>
          <w:p w14:paraId="28F177BA" w14:textId="07B6794E" w:rsidR="001D45AB" w:rsidRPr="001D45AB" w:rsidRDefault="001D45AB" w:rsidP="00313053">
            <w:pPr>
              <w:rPr>
                <w:sz w:val="22"/>
                <w:szCs w:val="22"/>
              </w:rPr>
            </w:pPr>
            <w:r w:rsidRPr="00A76AA7">
              <w:rPr>
                <w:sz w:val="22"/>
                <w:szCs w:val="22"/>
                <w:lang w:val="en-US"/>
              </w:rPr>
              <w:t>The semi-annual payment modality inclusive of expenditure verification etc. means that the average working capital days amounts to almost half a year impacting the cashflow heavily. Therefore it seems reasonable to include an advance payment (against a guarantee). Is it possible?</w:t>
            </w:r>
          </w:p>
        </w:tc>
        <w:tc>
          <w:tcPr>
            <w:tcW w:w="4282" w:type="dxa"/>
          </w:tcPr>
          <w:p w14:paraId="528AE739" w14:textId="0754B52F" w:rsidR="001D45AB" w:rsidRPr="001D45AB" w:rsidRDefault="00F05E8E" w:rsidP="00313053">
            <w:pPr>
              <w:rPr>
                <w:sz w:val="22"/>
                <w:szCs w:val="22"/>
                <w:lang w:val="en-US"/>
              </w:rPr>
            </w:pPr>
            <w:r>
              <w:rPr>
                <w:sz w:val="22"/>
                <w:szCs w:val="22"/>
                <w:lang w:val="en-US"/>
              </w:rPr>
              <w:t>The Embassy will consider this proposal.</w:t>
            </w:r>
          </w:p>
        </w:tc>
      </w:tr>
      <w:tr w:rsidR="001D45AB" w:rsidRPr="001D45AB" w14:paraId="61D6E9D2" w14:textId="77777777" w:rsidTr="00F425C0">
        <w:tc>
          <w:tcPr>
            <w:tcW w:w="588" w:type="dxa"/>
          </w:tcPr>
          <w:p w14:paraId="558D56AD" w14:textId="77777777" w:rsidR="001D45AB" w:rsidRPr="001D45AB" w:rsidRDefault="001D45AB" w:rsidP="00313053">
            <w:pPr>
              <w:jc w:val="right"/>
              <w:rPr>
                <w:sz w:val="22"/>
                <w:szCs w:val="22"/>
                <w:lang w:val="en-US"/>
              </w:rPr>
            </w:pPr>
          </w:p>
        </w:tc>
        <w:tc>
          <w:tcPr>
            <w:tcW w:w="4293" w:type="dxa"/>
          </w:tcPr>
          <w:p w14:paraId="2A431B77" w14:textId="331F0987" w:rsidR="001D45AB" w:rsidRPr="00F05E8E" w:rsidRDefault="001D45AB" w:rsidP="00F05E8E">
            <w:pPr>
              <w:spacing w:before="100" w:beforeAutospacing="1" w:after="100" w:afterAutospacing="1"/>
              <w:rPr>
                <w:sz w:val="22"/>
                <w:szCs w:val="22"/>
              </w:rPr>
            </w:pPr>
            <w:r w:rsidRPr="00A76AA7">
              <w:rPr>
                <w:sz w:val="22"/>
                <w:szCs w:val="22"/>
                <w:lang w:val="en-US"/>
              </w:rPr>
              <w:t>Please confirm that since a successful foreign Supplier according to the tender documents must issue invoices to the Swedish Embassy having its address in Tirana but under its Swedish Organization Number (202100-4789) and Swedish VAT Number (SE 202100478901), the Swedish Embassy in Tirana is not obliged to deduct withholding taxes in Albania when making payments to the successful foreign Supplier.</w:t>
            </w:r>
          </w:p>
        </w:tc>
        <w:tc>
          <w:tcPr>
            <w:tcW w:w="4282" w:type="dxa"/>
          </w:tcPr>
          <w:p w14:paraId="3823392F" w14:textId="38B8307D" w:rsidR="00F05E8E" w:rsidRPr="00436E10" w:rsidRDefault="00F05E8E" w:rsidP="00F05E8E">
            <w:pPr>
              <w:spacing w:before="100" w:beforeAutospacing="1" w:after="100" w:afterAutospacing="1"/>
              <w:rPr>
                <w:sz w:val="22"/>
                <w:szCs w:val="22"/>
                <w:lang w:val="en-US"/>
              </w:rPr>
            </w:pPr>
            <w:r w:rsidRPr="00F05E8E">
              <w:rPr>
                <w:sz w:val="22"/>
                <w:szCs w:val="22"/>
                <w:lang w:val="en-US"/>
              </w:rPr>
              <w:t>It is confirmed that the Embassy</w:t>
            </w:r>
            <w:r>
              <w:rPr>
                <w:sz w:val="22"/>
                <w:szCs w:val="22"/>
                <w:lang w:val="en-US"/>
              </w:rPr>
              <w:t xml:space="preserve"> </w:t>
            </w:r>
            <w:r w:rsidRPr="00F05E8E">
              <w:rPr>
                <w:sz w:val="22"/>
                <w:szCs w:val="22"/>
                <w:lang w:val="en-US"/>
              </w:rPr>
              <w:t xml:space="preserve">is not obliged to deduct withholding taxes in </w:t>
            </w:r>
            <w:r w:rsidRPr="00A76AA7">
              <w:rPr>
                <w:sz w:val="22"/>
                <w:szCs w:val="22"/>
                <w:lang w:val="en-US"/>
              </w:rPr>
              <w:t xml:space="preserve">Albania when making </w:t>
            </w:r>
            <w:r w:rsidRPr="00436E10">
              <w:rPr>
                <w:sz w:val="22"/>
                <w:szCs w:val="22"/>
                <w:lang w:val="en-US"/>
              </w:rPr>
              <w:t>payments to the successful foreign supplier</w:t>
            </w:r>
            <w:r w:rsidR="00436E10" w:rsidRPr="00436E10">
              <w:rPr>
                <w:sz w:val="22"/>
                <w:szCs w:val="22"/>
                <w:lang w:val="en-US"/>
              </w:rPr>
              <w:t xml:space="preserve">. </w:t>
            </w:r>
            <w:r w:rsidR="00436E10" w:rsidRPr="00436E10">
              <w:rPr>
                <w:sz w:val="22"/>
                <w:szCs w:val="22"/>
              </w:rPr>
              <w:t>The reduction of liabilities will be handled according to the bilateral agreement between the two countries.</w:t>
            </w:r>
          </w:p>
          <w:p w14:paraId="6B817E4B" w14:textId="77777777" w:rsidR="001D45AB" w:rsidRPr="00F05E8E" w:rsidRDefault="001D45AB" w:rsidP="00313053">
            <w:pPr>
              <w:rPr>
                <w:sz w:val="22"/>
                <w:szCs w:val="22"/>
                <w:lang w:val="en-US"/>
              </w:rPr>
            </w:pPr>
          </w:p>
        </w:tc>
      </w:tr>
    </w:tbl>
    <w:p w14:paraId="40A654E8" w14:textId="77777777" w:rsidR="00821074" w:rsidRPr="001D45AB" w:rsidRDefault="00821074">
      <w:pPr>
        <w:rPr>
          <w:sz w:val="22"/>
          <w:szCs w:val="22"/>
        </w:rPr>
      </w:pPr>
    </w:p>
    <w:sectPr w:rsidR="00821074" w:rsidRPr="001D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D796E"/>
    <w:multiLevelType w:val="multilevel"/>
    <w:tmpl w:val="6CC2E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92415"/>
    <w:multiLevelType w:val="multilevel"/>
    <w:tmpl w:val="E5CAF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6347F"/>
    <w:multiLevelType w:val="multilevel"/>
    <w:tmpl w:val="31C0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83E85"/>
    <w:multiLevelType w:val="multilevel"/>
    <w:tmpl w:val="76309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74"/>
    <w:rsid w:val="000128CE"/>
    <w:rsid w:val="00022C1B"/>
    <w:rsid w:val="0004442C"/>
    <w:rsid w:val="00085A33"/>
    <w:rsid w:val="00100BE5"/>
    <w:rsid w:val="00100DA2"/>
    <w:rsid w:val="001D45AB"/>
    <w:rsid w:val="001F5B3D"/>
    <w:rsid w:val="002071C7"/>
    <w:rsid w:val="00264979"/>
    <w:rsid w:val="00274231"/>
    <w:rsid w:val="002B6A3A"/>
    <w:rsid w:val="00313053"/>
    <w:rsid w:val="00370268"/>
    <w:rsid w:val="003C4D7A"/>
    <w:rsid w:val="00407153"/>
    <w:rsid w:val="00436E10"/>
    <w:rsid w:val="0045112F"/>
    <w:rsid w:val="00483993"/>
    <w:rsid w:val="004E6F21"/>
    <w:rsid w:val="00520092"/>
    <w:rsid w:val="005346A3"/>
    <w:rsid w:val="00566B09"/>
    <w:rsid w:val="005F2A24"/>
    <w:rsid w:val="006A4140"/>
    <w:rsid w:val="0072183A"/>
    <w:rsid w:val="00777298"/>
    <w:rsid w:val="00821074"/>
    <w:rsid w:val="008A59BB"/>
    <w:rsid w:val="008F76B1"/>
    <w:rsid w:val="009449B9"/>
    <w:rsid w:val="00961CFE"/>
    <w:rsid w:val="00962FC9"/>
    <w:rsid w:val="00964080"/>
    <w:rsid w:val="009868B6"/>
    <w:rsid w:val="009C7C22"/>
    <w:rsid w:val="00A97D59"/>
    <w:rsid w:val="00AA187D"/>
    <w:rsid w:val="00AA3CE5"/>
    <w:rsid w:val="00AF5E2E"/>
    <w:rsid w:val="00B00AB5"/>
    <w:rsid w:val="00B01F9F"/>
    <w:rsid w:val="00B23D04"/>
    <w:rsid w:val="00B872F5"/>
    <w:rsid w:val="00BF0ABA"/>
    <w:rsid w:val="00C14C88"/>
    <w:rsid w:val="00C23C1D"/>
    <w:rsid w:val="00C705F8"/>
    <w:rsid w:val="00C70842"/>
    <w:rsid w:val="00CA4B53"/>
    <w:rsid w:val="00CE3FD5"/>
    <w:rsid w:val="00D17E14"/>
    <w:rsid w:val="00D852B5"/>
    <w:rsid w:val="00DE6F56"/>
    <w:rsid w:val="00E65CE3"/>
    <w:rsid w:val="00E962B9"/>
    <w:rsid w:val="00EA414C"/>
    <w:rsid w:val="00EE6F4D"/>
    <w:rsid w:val="00F0088D"/>
    <w:rsid w:val="00F05E8E"/>
    <w:rsid w:val="00F233AC"/>
    <w:rsid w:val="00F425C0"/>
    <w:rsid w:val="00F50072"/>
    <w:rsid w:val="00F938C2"/>
    <w:rsid w:val="00F9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2B44"/>
  <w15:chartTrackingRefBased/>
  <w15:docId w15:val="{A5BC01B9-EA3B-E243-8C1B-1E0AD890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3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601503379191166658msolistparagraph">
    <w:name w:val="m_-3601503379191166658msolistparagraph"/>
    <w:basedOn w:val="Normal"/>
    <w:rsid w:val="0045112F"/>
    <w:pPr>
      <w:spacing w:before="100" w:beforeAutospacing="1" w:after="100" w:afterAutospacing="1"/>
    </w:pPr>
  </w:style>
  <w:style w:type="paragraph" w:customStyle="1" w:styleId="m7292813404176245689msolistparagraph">
    <w:name w:val="m_7292813404176245689msolistparagraph"/>
    <w:basedOn w:val="Normal"/>
    <w:rsid w:val="0045112F"/>
    <w:pPr>
      <w:spacing w:before="100" w:beforeAutospacing="1" w:after="100" w:afterAutospacing="1"/>
    </w:pPr>
  </w:style>
  <w:style w:type="character" w:styleId="Hyperlink">
    <w:name w:val="Hyperlink"/>
    <w:basedOn w:val="DefaultParagraphFont"/>
    <w:uiPriority w:val="99"/>
    <w:semiHidden/>
    <w:unhideWhenUsed/>
    <w:rsid w:val="0045112F"/>
    <w:rPr>
      <w:color w:val="0000FF"/>
      <w:u w:val="single"/>
    </w:rPr>
  </w:style>
  <w:style w:type="character" w:styleId="FollowedHyperlink">
    <w:name w:val="FollowedHyperlink"/>
    <w:basedOn w:val="DefaultParagraphFont"/>
    <w:uiPriority w:val="99"/>
    <w:semiHidden/>
    <w:unhideWhenUsed/>
    <w:rsid w:val="005F2A24"/>
    <w:rPr>
      <w:color w:val="954F72" w:themeColor="followedHyperlink"/>
      <w:u w:val="single"/>
    </w:rPr>
  </w:style>
  <w:style w:type="character" w:styleId="CommentReference">
    <w:name w:val="annotation reference"/>
    <w:basedOn w:val="DefaultParagraphFont"/>
    <w:uiPriority w:val="99"/>
    <w:semiHidden/>
    <w:unhideWhenUsed/>
    <w:rsid w:val="00AA3CE5"/>
    <w:rPr>
      <w:sz w:val="16"/>
      <w:szCs w:val="16"/>
    </w:rPr>
  </w:style>
  <w:style w:type="paragraph" w:styleId="CommentText">
    <w:name w:val="annotation text"/>
    <w:basedOn w:val="Normal"/>
    <w:link w:val="CommentTextChar"/>
    <w:uiPriority w:val="99"/>
    <w:semiHidden/>
    <w:unhideWhenUsed/>
    <w:rsid w:val="00AA3CE5"/>
    <w:rPr>
      <w:sz w:val="20"/>
      <w:szCs w:val="20"/>
    </w:rPr>
  </w:style>
  <w:style w:type="character" w:customStyle="1" w:styleId="CommentTextChar">
    <w:name w:val="Comment Text Char"/>
    <w:basedOn w:val="DefaultParagraphFont"/>
    <w:link w:val="CommentText"/>
    <w:uiPriority w:val="99"/>
    <w:semiHidden/>
    <w:rsid w:val="00AA3CE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3CE5"/>
    <w:rPr>
      <w:b/>
      <w:bCs/>
    </w:rPr>
  </w:style>
  <w:style w:type="character" w:customStyle="1" w:styleId="CommentSubjectChar">
    <w:name w:val="Comment Subject Char"/>
    <w:basedOn w:val="CommentTextChar"/>
    <w:link w:val="CommentSubject"/>
    <w:uiPriority w:val="99"/>
    <w:semiHidden/>
    <w:rsid w:val="00AA3CE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A3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E5"/>
    <w:rPr>
      <w:rFonts w:ascii="Segoe UI" w:eastAsia="Times New Roman" w:hAnsi="Segoe UI" w:cs="Segoe UI"/>
      <w:sz w:val="18"/>
      <w:szCs w:val="18"/>
      <w:lang w:eastAsia="en-GB"/>
    </w:rPr>
  </w:style>
  <w:style w:type="paragraph" w:styleId="NormalWeb">
    <w:name w:val="Normal (Web)"/>
    <w:basedOn w:val="Normal"/>
    <w:uiPriority w:val="99"/>
    <w:semiHidden/>
    <w:unhideWhenUsed/>
    <w:rsid w:val="00407153"/>
    <w:pPr>
      <w:spacing w:before="100" w:beforeAutospacing="1" w:after="100" w:afterAutospacing="1"/>
    </w:pPr>
  </w:style>
  <w:style w:type="character" w:styleId="PlaceholderText">
    <w:name w:val="Placeholder Text"/>
    <w:basedOn w:val="DefaultParagraphFont"/>
    <w:uiPriority w:val="99"/>
    <w:semiHidden/>
    <w:rsid w:val="00B23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7271">
      <w:bodyDiv w:val="1"/>
      <w:marLeft w:val="0"/>
      <w:marRight w:val="0"/>
      <w:marTop w:val="0"/>
      <w:marBottom w:val="0"/>
      <w:divBdr>
        <w:top w:val="none" w:sz="0" w:space="0" w:color="auto"/>
        <w:left w:val="none" w:sz="0" w:space="0" w:color="auto"/>
        <w:bottom w:val="none" w:sz="0" w:space="0" w:color="auto"/>
        <w:right w:val="none" w:sz="0" w:space="0" w:color="auto"/>
      </w:divBdr>
    </w:div>
    <w:div w:id="40326035">
      <w:bodyDiv w:val="1"/>
      <w:marLeft w:val="0"/>
      <w:marRight w:val="0"/>
      <w:marTop w:val="0"/>
      <w:marBottom w:val="0"/>
      <w:divBdr>
        <w:top w:val="none" w:sz="0" w:space="0" w:color="auto"/>
        <w:left w:val="none" w:sz="0" w:space="0" w:color="auto"/>
        <w:bottom w:val="none" w:sz="0" w:space="0" w:color="auto"/>
        <w:right w:val="none" w:sz="0" w:space="0" w:color="auto"/>
      </w:divBdr>
    </w:div>
    <w:div w:id="43869168">
      <w:bodyDiv w:val="1"/>
      <w:marLeft w:val="0"/>
      <w:marRight w:val="0"/>
      <w:marTop w:val="0"/>
      <w:marBottom w:val="0"/>
      <w:divBdr>
        <w:top w:val="none" w:sz="0" w:space="0" w:color="auto"/>
        <w:left w:val="none" w:sz="0" w:space="0" w:color="auto"/>
        <w:bottom w:val="none" w:sz="0" w:space="0" w:color="auto"/>
        <w:right w:val="none" w:sz="0" w:space="0" w:color="auto"/>
      </w:divBdr>
    </w:div>
    <w:div w:id="181556007">
      <w:bodyDiv w:val="1"/>
      <w:marLeft w:val="0"/>
      <w:marRight w:val="0"/>
      <w:marTop w:val="0"/>
      <w:marBottom w:val="0"/>
      <w:divBdr>
        <w:top w:val="none" w:sz="0" w:space="0" w:color="auto"/>
        <w:left w:val="none" w:sz="0" w:space="0" w:color="auto"/>
        <w:bottom w:val="none" w:sz="0" w:space="0" w:color="auto"/>
        <w:right w:val="none" w:sz="0" w:space="0" w:color="auto"/>
      </w:divBdr>
      <w:divsChild>
        <w:div w:id="1269393646">
          <w:marLeft w:val="0"/>
          <w:marRight w:val="0"/>
          <w:marTop w:val="0"/>
          <w:marBottom w:val="0"/>
          <w:divBdr>
            <w:top w:val="none" w:sz="0" w:space="0" w:color="auto"/>
            <w:left w:val="none" w:sz="0" w:space="0" w:color="auto"/>
            <w:bottom w:val="none" w:sz="0" w:space="0" w:color="auto"/>
            <w:right w:val="none" w:sz="0" w:space="0" w:color="auto"/>
          </w:divBdr>
          <w:divsChild>
            <w:div w:id="1638293906">
              <w:marLeft w:val="0"/>
              <w:marRight w:val="0"/>
              <w:marTop w:val="0"/>
              <w:marBottom w:val="0"/>
              <w:divBdr>
                <w:top w:val="none" w:sz="0" w:space="0" w:color="auto"/>
                <w:left w:val="none" w:sz="0" w:space="0" w:color="auto"/>
                <w:bottom w:val="none" w:sz="0" w:space="0" w:color="auto"/>
                <w:right w:val="none" w:sz="0" w:space="0" w:color="auto"/>
              </w:divBdr>
              <w:divsChild>
                <w:div w:id="15014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8288">
      <w:bodyDiv w:val="1"/>
      <w:marLeft w:val="0"/>
      <w:marRight w:val="0"/>
      <w:marTop w:val="0"/>
      <w:marBottom w:val="0"/>
      <w:divBdr>
        <w:top w:val="none" w:sz="0" w:space="0" w:color="auto"/>
        <w:left w:val="none" w:sz="0" w:space="0" w:color="auto"/>
        <w:bottom w:val="none" w:sz="0" w:space="0" w:color="auto"/>
        <w:right w:val="none" w:sz="0" w:space="0" w:color="auto"/>
      </w:divBdr>
    </w:div>
    <w:div w:id="304624734">
      <w:bodyDiv w:val="1"/>
      <w:marLeft w:val="0"/>
      <w:marRight w:val="0"/>
      <w:marTop w:val="0"/>
      <w:marBottom w:val="0"/>
      <w:divBdr>
        <w:top w:val="none" w:sz="0" w:space="0" w:color="auto"/>
        <w:left w:val="none" w:sz="0" w:space="0" w:color="auto"/>
        <w:bottom w:val="none" w:sz="0" w:space="0" w:color="auto"/>
        <w:right w:val="none" w:sz="0" w:space="0" w:color="auto"/>
      </w:divBdr>
    </w:div>
    <w:div w:id="333456778">
      <w:bodyDiv w:val="1"/>
      <w:marLeft w:val="0"/>
      <w:marRight w:val="0"/>
      <w:marTop w:val="0"/>
      <w:marBottom w:val="0"/>
      <w:divBdr>
        <w:top w:val="none" w:sz="0" w:space="0" w:color="auto"/>
        <w:left w:val="none" w:sz="0" w:space="0" w:color="auto"/>
        <w:bottom w:val="none" w:sz="0" w:space="0" w:color="auto"/>
        <w:right w:val="none" w:sz="0" w:space="0" w:color="auto"/>
      </w:divBdr>
    </w:div>
    <w:div w:id="656492820">
      <w:bodyDiv w:val="1"/>
      <w:marLeft w:val="0"/>
      <w:marRight w:val="0"/>
      <w:marTop w:val="0"/>
      <w:marBottom w:val="0"/>
      <w:divBdr>
        <w:top w:val="none" w:sz="0" w:space="0" w:color="auto"/>
        <w:left w:val="none" w:sz="0" w:space="0" w:color="auto"/>
        <w:bottom w:val="none" w:sz="0" w:space="0" w:color="auto"/>
        <w:right w:val="none" w:sz="0" w:space="0" w:color="auto"/>
      </w:divBdr>
    </w:div>
    <w:div w:id="665977694">
      <w:bodyDiv w:val="1"/>
      <w:marLeft w:val="0"/>
      <w:marRight w:val="0"/>
      <w:marTop w:val="0"/>
      <w:marBottom w:val="0"/>
      <w:divBdr>
        <w:top w:val="none" w:sz="0" w:space="0" w:color="auto"/>
        <w:left w:val="none" w:sz="0" w:space="0" w:color="auto"/>
        <w:bottom w:val="none" w:sz="0" w:space="0" w:color="auto"/>
        <w:right w:val="none" w:sz="0" w:space="0" w:color="auto"/>
      </w:divBdr>
    </w:div>
    <w:div w:id="677345854">
      <w:bodyDiv w:val="1"/>
      <w:marLeft w:val="0"/>
      <w:marRight w:val="0"/>
      <w:marTop w:val="0"/>
      <w:marBottom w:val="0"/>
      <w:divBdr>
        <w:top w:val="none" w:sz="0" w:space="0" w:color="auto"/>
        <w:left w:val="none" w:sz="0" w:space="0" w:color="auto"/>
        <w:bottom w:val="none" w:sz="0" w:space="0" w:color="auto"/>
        <w:right w:val="none" w:sz="0" w:space="0" w:color="auto"/>
      </w:divBdr>
    </w:div>
    <w:div w:id="785542229">
      <w:bodyDiv w:val="1"/>
      <w:marLeft w:val="0"/>
      <w:marRight w:val="0"/>
      <w:marTop w:val="0"/>
      <w:marBottom w:val="0"/>
      <w:divBdr>
        <w:top w:val="none" w:sz="0" w:space="0" w:color="auto"/>
        <w:left w:val="none" w:sz="0" w:space="0" w:color="auto"/>
        <w:bottom w:val="none" w:sz="0" w:space="0" w:color="auto"/>
        <w:right w:val="none" w:sz="0" w:space="0" w:color="auto"/>
      </w:divBdr>
    </w:div>
    <w:div w:id="866986222">
      <w:bodyDiv w:val="1"/>
      <w:marLeft w:val="0"/>
      <w:marRight w:val="0"/>
      <w:marTop w:val="0"/>
      <w:marBottom w:val="0"/>
      <w:divBdr>
        <w:top w:val="none" w:sz="0" w:space="0" w:color="auto"/>
        <w:left w:val="none" w:sz="0" w:space="0" w:color="auto"/>
        <w:bottom w:val="none" w:sz="0" w:space="0" w:color="auto"/>
        <w:right w:val="none" w:sz="0" w:space="0" w:color="auto"/>
      </w:divBdr>
    </w:div>
    <w:div w:id="917790340">
      <w:bodyDiv w:val="1"/>
      <w:marLeft w:val="0"/>
      <w:marRight w:val="0"/>
      <w:marTop w:val="0"/>
      <w:marBottom w:val="0"/>
      <w:divBdr>
        <w:top w:val="none" w:sz="0" w:space="0" w:color="auto"/>
        <w:left w:val="none" w:sz="0" w:space="0" w:color="auto"/>
        <w:bottom w:val="none" w:sz="0" w:space="0" w:color="auto"/>
        <w:right w:val="none" w:sz="0" w:space="0" w:color="auto"/>
      </w:divBdr>
    </w:div>
    <w:div w:id="949969985">
      <w:bodyDiv w:val="1"/>
      <w:marLeft w:val="0"/>
      <w:marRight w:val="0"/>
      <w:marTop w:val="0"/>
      <w:marBottom w:val="0"/>
      <w:divBdr>
        <w:top w:val="none" w:sz="0" w:space="0" w:color="auto"/>
        <w:left w:val="none" w:sz="0" w:space="0" w:color="auto"/>
        <w:bottom w:val="none" w:sz="0" w:space="0" w:color="auto"/>
        <w:right w:val="none" w:sz="0" w:space="0" w:color="auto"/>
      </w:divBdr>
    </w:div>
    <w:div w:id="1135871403">
      <w:bodyDiv w:val="1"/>
      <w:marLeft w:val="0"/>
      <w:marRight w:val="0"/>
      <w:marTop w:val="0"/>
      <w:marBottom w:val="0"/>
      <w:divBdr>
        <w:top w:val="none" w:sz="0" w:space="0" w:color="auto"/>
        <w:left w:val="none" w:sz="0" w:space="0" w:color="auto"/>
        <w:bottom w:val="none" w:sz="0" w:space="0" w:color="auto"/>
        <w:right w:val="none" w:sz="0" w:space="0" w:color="auto"/>
      </w:divBdr>
    </w:div>
    <w:div w:id="1388341417">
      <w:bodyDiv w:val="1"/>
      <w:marLeft w:val="0"/>
      <w:marRight w:val="0"/>
      <w:marTop w:val="0"/>
      <w:marBottom w:val="0"/>
      <w:divBdr>
        <w:top w:val="none" w:sz="0" w:space="0" w:color="auto"/>
        <w:left w:val="none" w:sz="0" w:space="0" w:color="auto"/>
        <w:bottom w:val="none" w:sz="0" w:space="0" w:color="auto"/>
        <w:right w:val="none" w:sz="0" w:space="0" w:color="auto"/>
      </w:divBdr>
    </w:div>
    <w:div w:id="1452357928">
      <w:bodyDiv w:val="1"/>
      <w:marLeft w:val="0"/>
      <w:marRight w:val="0"/>
      <w:marTop w:val="0"/>
      <w:marBottom w:val="0"/>
      <w:divBdr>
        <w:top w:val="none" w:sz="0" w:space="0" w:color="auto"/>
        <w:left w:val="none" w:sz="0" w:space="0" w:color="auto"/>
        <w:bottom w:val="none" w:sz="0" w:space="0" w:color="auto"/>
        <w:right w:val="none" w:sz="0" w:space="0" w:color="auto"/>
      </w:divBdr>
    </w:div>
    <w:div w:id="1538007539">
      <w:bodyDiv w:val="1"/>
      <w:marLeft w:val="0"/>
      <w:marRight w:val="0"/>
      <w:marTop w:val="0"/>
      <w:marBottom w:val="0"/>
      <w:divBdr>
        <w:top w:val="none" w:sz="0" w:space="0" w:color="auto"/>
        <w:left w:val="none" w:sz="0" w:space="0" w:color="auto"/>
        <w:bottom w:val="none" w:sz="0" w:space="0" w:color="auto"/>
        <w:right w:val="none" w:sz="0" w:space="0" w:color="auto"/>
      </w:divBdr>
    </w:div>
    <w:div w:id="1696927333">
      <w:bodyDiv w:val="1"/>
      <w:marLeft w:val="0"/>
      <w:marRight w:val="0"/>
      <w:marTop w:val="0"/>
      <w:marBottom w:val="0"/>
      <w:divBdr>
        <w:top w:val="none" w:sz="0" w:space="0" w:color="auto"/>
        <w:left w:val="none" w:sz="0" w:space="0" w:color="auto"/>
        <w:bottom w:val="none" w:sz="0" w:space="0" w:color="auto"/>
        <w:right w:val="none" w:sz="0" w:space="0" w:color="auto"/>
      </w:divBdr>
    </w:div>
    <w:div w:id="1803616801">
      <w:bodyDiv w:val="1"/>
      <w:marLeft w:val="0"/>
      <w:marRight w:val="0"/>
      <w:marTop w:val="0"/>
      <w:marBottom w:val="0"/>
      <w:divBdr>
        <w:top w:val="none" w:sz="0" w:space="0" w:color="auto"/>
        <w:left w:val="none" w:sz="0" w:space="0" w:color="auto"/>
        <w:bottom w:val="none" w:sz="0" w:space="0" w:color="auto"/>
        <w:right w:val="none" w:sz="0" w:space="0" w:color="auto"/>
      </w:divBdr>
    </w:div>
    <w:div w:id="1804149368">
      <w:bodyDiv w:val="1"/>
      <w:marLeft w:val="0"/>
      <w:marRight w:val="0"/>
      <w:marTop w:val="0"/>
      <w:marBottom w:val="0"/>
      <w:divBdr>
        <w:top w:val="none" w:sz="0" w:space="0" w:color="auto"/>
        <w:left w:val="none" w:sz="0" w:space="0" w:color="auto"/>
        <w:bottom w:val="none" w:sz="0" w:space="0" w:color="auto"/>
        <w:right w:val="none" w:sz="0" w:space="0" w:color="auto"/>
      </w:divBdr>
    </w:div>
    <w:div w:id="19288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mersannons.se/eLite/Supplier/SupplierStart.aspx" TargetMode="External"/><Relationship Id="rId5" Type="http://schemas.openxmlformats.org/officeDocument/2006/relationships/hyperlink" Target="https://cfcu.financa.gov.al/en/sida-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 Nilsson</dc:creator>
  <cp:keywords/>
  <dc:description/>
  <cp:lastModifiedBy>Mikel Smaci</cp:lastModifiedBy>
  <cp:revision>2</cp:revision>
  <dcterms:created xsi:type="dcterms:W3CDTF">2021-05-05T12:57:00Z</dcterms:created>
  <dcterms:modified xsi:type="dcterms:W3CDTF">2021-05-05T12:57:00Z</dcterms:modified>
</cp:coreProperties>
</file>