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1876" w14:textId="77777777" w:rsidR="00852DFF" w:rsidRDefault="00852DFF" w:rsidP="00852DFF">
      <w:pPr>
        <w:autoSpaceDE w:val="0"/>
        <w:autoSpaceDN w:val="0"/>
        <w:adjustRightInd w:val="0"/>
        <w:spacing w:after="360"/>
        <w:ind w:left="-567"/>
        <w:rPr>
          <w:rFonts w:asciiTheme="majorHAnsi" w:hAnsiTheme="majorHAnsi" w:cstheme="majorHAnsi"/>
        </w:rPr>
      </w:pPr>
      <w:bookmarkStart w:id="0" w:name="_Hlk505952298"/>
      <w:r w:rsidRPr="00F54E73">
        <w:rPr>
          <w:rFonts w:cstheme="minorHAnsi"/>
          <w:noProof/>
          <w:lang w:eastAsia="en-GB"/>
        </w:rPr>
        <w:drawing>
          <wp:inline distT="0" distB="0" distL="0" distR="0" wp14:anchorId="0BE5FB76" wp14:editId="10EC8D86">
            <wp:extent cx="1944000" cy="864000"/>
            <wp:effectExtent l="0" t="0" r="0" b="0"/>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864000"/>
                    </a:xfrm>
                    <a:prstGeom prst="rect">
                      <a:avLst/>
                    </a:prstGeom>
                    <a:noFill/>
                    <a:ln>
                      <a:noFill/>
                    </a:ln>
                  </pic:spPr>
                </pic:pic>
              </a:graphicData>
            </a:graphic>
          </wp:inline>
        </w:drawing>
      </w:r>
    </w:p>
    <w:p w14:paraId="2F31285B" w14:textId="42943E7A" w:rsidR="00852DFF" w:rsidRPr="002571BD" w:rsidRDefault="00DF155F" w:rsidP="00852DFF">
      <w:pPr>
        <w:autoSpaceDE w:val="0"/>
        <w:autoSpaceDN w:val="0"/>
        <w:adjustRightInd w:val="0"/>
        <w:spacing w:before="120"/>
        <w:ind w:left="-284"/>
        <w:rPr>
          <w:rFonts w:asciiTheme="majorHAnsi" w:eastAsia="Calibri" w:hAnsiTheme="majorHAnsi" w:cstheme="majorHAnsi"/>
          <w:b/>
          <w:bCs/>
          <w:sz w:val="22"/>
          <w:lang w:bidi="en-GB"/>
        </w:rPr>
      </w:pPr>
      <w:r>
        <w:rPr>
          <w:rFonts w:asciiTheme="majorHAnsi" w:hAnsiTheme="majorHAnsi" w:cstheme="majorHAnsi"/>
          <w:b/>
          <w:bCs/>
          <w:sz w:val="22"/>
        </w:rPr>
        <w:t>PRETORIA</w:t>
      </w:r>
    </w:p>
    <w:p w14:paraId="6BBBC03D" w14:textId="77777777" w:rsidR="00122F28" w:rsidRDefault="00122F28" w:rsidP="00122F28">
      <w:pPr>
        <w:rPr>
          <w:lang w:val="en-GB" w:bidi="en-GB"/>
        </w:rPr>
      </w:pPr>
    </w:p>
    <w:p w14:paraId="1CCAD155" w14:textId="77777777" w:rsidR="00122F28" w:rsidRPr="00573C9F" w:rsidRDefault="00122F28" w:rsidP="008D5BB3">
      <w:pPr>
        <w:pStyle w:val="Heading1"/>
        <w:pageBreakBefore w:val="0"/>
        <w:pBdr>
          <w:bottom w:val="single" w:sz="4" w:space="1" w:color="auto"/>
        </w:pBdr>
      </w:pPr>
      <w:r w:rsidRPr="00573C9F">
        <w:t>PROCUREMENT DOCUMENT</w:t>
      </w:r>
    </w:p>
    <w:p w14:paraId="6E7030C0" w14:textId="706DECCC" w:rsidR="002D3B73" w:rsidRPr="002571BD" w:rsidRDefault="002D3B73" w:rsidP="002D3B73">
      <w:pPr>
        <w:autoSpaceDE w:val="0"/>
        <w:autoSpaceDN w:val="0"/>
        <w:adjustRightInd w:val="0"/>
        <w:rPr>
          <w:rFonts w:asciiTheme="majorHAnsi" w:eastAsia="Calibri" w:hAnsiTheme="majorHAnsi" w:cstheme="majorHAnsi"/>
          <w:b/>
          <w:color w:val="000000"/>
          <w:sz w:val="32"/>
          <w:szCs w:val="32"/>
          <w:lang w:val="en-GB" w:bidi="en-GB"/>
        </w:rPr>
      </w:pPr>
      <w:r w:rsidRPr="002571BD">
        <w:rPr>
          <w:rFonts w:asciiTheme="majorHAnsi" w:eastAsia="Calibri" w:hAnsiTheme="majorHAnsi" w:cstheme="majorHAnsi"/>
          <w:b/>
          <w:color w:val="000000"/>
          <w:sz w:val="32"/>
          <w:szCs w:val="32"/>
          <w:lang w:val="en-GB" w:bidi="en-GB"/>
        </w:rPr>
        <w:t>Procurement:</w:t>
      </w:r>
      <w:r w:rsidR="00DF155F">
        <w:rPr>
          <w:rFonts w:asciiTheme="majorHAnsi" w:eastAsia="Calibri" w:hAnsiTheme="majorHAnsi" w:cstheme="majorHAnsi"/>
          <w:b/>
          <w:color w:val="000000"/>
          <w:sz w:val="32"/>
          <w:szCs w:val="32"/>
          <w:lang w:val="en-GB" w:bidi="en-GB"/>
        </w:rPr>
        <w:t xml:space="preserve"> FRAMEWORK AGREEMENT FOR AUDIT</w:t>
      </w:r>
      <w:r w:rsidR="0035138A">
        <w:rPr>
          <w:rFonts w:asciiTheme="majorHAnsi" w:eastAsia="Calibri" w:hAnsiTheme="majorHAnsi" w:cstheme="majorHAnsi"/>
          <w:b/>
          <w:color w:val="000000"/>
          <w:sz w:val="32"/>
          <w:szCs w:val="32"/>
          <w:lang w:val="en-GB" w:bidi="en-GB"/>
        </w:rPr>
        <w:t xml:space="preserve"> and </w:t>
      </w:r>
      <w:r w:rsidR="00CB6650">
        <w:rPr>
          <w:rFonts w:asciiTheme="majorHAnsi" w:eastAsia="Calibri" w:hAnsiTheme="majorHAnsi" w:cstheme="majorHAnsi"/>
          <w:b/>
          <w:color w:val="000000"/>
          <w:sz w:val="32"/>
          <w:szCs w:val="32"/>
          <w:lang w:val="en-GB" w:bidi="en-GB"/>
        </w:rPr>
        <w:t xml:space="preserve">FINANCIAL </w:t>
      </w:r>
      <w:r w:rsidR="00DF155F">
        <w:rPr>
          <w:rFonts w:asciiTheme="majorHAnsi" w:eastAsia="Calibri" w:hAnsiTheme="majorHAnsi" w:cstheme="majorHAnsi"/>
          <w:b/>
          <w:color w:val="000000"/>
          <w:sz w:val="32"/>
          <w:szCs w:val="32"/>
          <w:lang w:val="en-GB" w:bidi="en-GB"/>
        </w:rPr>
        <w:t>SERVICES</w:t>
      </w:r>
    </w:p>
    <w:p w14:paraId="610B37E6" w14:textId="32B293E0" w:rsidR="002D3B73" w:rsidRPr="002571BD" w:rsidRDefault="002D3B73" w:rsidP="002D3B73">
      <w:pPr>
        <w:autoSpaceDE w:val="0"/>
        <w:autoSpaceDN w:val="0"/>
        <w:adjustRightInd w:val="0"/>
        <w:rPr>
          <w:rFonts w:asciiTheme="majorHAnsi" w:eastAsia="Calibri" w:hAnsiTheme="majorHAnsi" w:cstheme="majorHAnsi"/>
          <w:b/>
          <w:color w:val="000000"/>
          <w:sz w:val="32"/>
          <w:szCs w:val="32"/>
          <w:lang w:val="en-GB" w:bidi="en-GB"/>
        </w:rPr>
      </w:pPr>
      <w:r w:rsidRPr="002571BD">
        <w:rPr>
          <w:rFonts w:asciiTheme="majorHAnsi" w:eastAsia="Calibri" w:hAnsiTheme="majorHAnsi" w:cstheme="majorHAnsi"/>
          <w:b/>
          <w:color w:val="000000"/>
          <w:sz w:val="32"/>
          <w:szCs w:val="32"/>
          <w:lang w:val="en-GB" w:bidi="en-GB"/>
        </w:rPr>
        <w:t>Procedure:</w:t>
      </w:r>
      <w:r w:rsidR="00EA0321">
        <w:rPr>
          <w:rFonts w:asciiTheme="majorHAnsi" w:eastAsia="Calibri" w:hAnsiTheme="majorHAnsi" w:cstheme="majorHAnsi"/>
          <w:b/>
          <w:color w:val="000000"/>
          <w:sz w:val="32"/>
          <w:szCs w:val="32"/>
          <w:lang w:val="en-GB" w:bidi="en-GB"/>
        </w:rPr>
        <w:t xml:space="preserve"> Open Procedure</w:t>
      </w:r>
    </w:p>
    <w:p w14:paraId="7688FC19" w14:textId="003C4AD7" w:rsidR="00CB6650" w:rsidRPr="001E4CEA" w:rsidRDefault="002D3B73" w:rsidP="00CB6650">
      <w:pPr>
        <w:rPr>
          <w:rFonts w:ascii="Calibri" w:hAnsi="Calibri"/>
          <w:b/>
          <w:bCs/>
          <w:color w:val="FF0000"/>
          <w:sz w:val="22"/>
        </w:rPr>
      </w:pPr>
      <w:r w:rsidRPr="002571BD">
        <w:rPr>
          <w:rFonts w:asciiTheme="majorHAnsi" w:eastAsia="Calibri" w:hAnsiTheme="majorHAnsi" w:cstheme="majorHAnsi"/>
          <w:b/>
          <w:color w:val="000000"/>
          <w:sz w:val="32"/>
          <w:szCs w:val="32"/>
          <w:lang w:val="en-GB" w:bidi="en-GB"/>
        </w:rPr>
        <w:t>Reference number:</w:t>
      </w:r>
      <w:r w:rsidR="00CB6650">
        <w:rPr>
          <w:rFonts w:asciiTheme="majorHAnsi" w:eastAsia="Calibri" w:hAnsiTheme="majorHAnsi" w:cstheme="majorHAnsi"/>
          <w:b/>
          <w:color w:val="000000"/>
          <w:sz w:val="32"/>
          <w:szCs w:val="32"/>
          <w:lang w:val="en-GB" w:bidi="en-GB"/>
        </w:rPr>
        <w:t xml:space="preserve"> </w:t>
      </w:r>
      <w:r w:rsidR="00CB6650" w:rsidRPr="004F0ED4">
        <w:rPr>
          <w:b/>
          <w:bCs/>
        </w:rPr>
        <w:t>UM2023/02835/PRET.</w:t>
      </w:r>
    </w:p>
    <w:p w14:paraId="29AE7888" w14:textId="77777777" w:rsidR="002D3B73" w:rsidRPr="004C3B64" w:rsidRDefault="002D3B73" w:rsidP="008D5BB3">
      <w:pPr>
        <w:pStyle w:val="Heading1"/>
        <w:pageBreakBefore w:val="0"/>
        <w:rPr>
          <w:rFonts w:eastAsia="Calibri"/>
          <w:lang w:val="en-GB" w:bidi="en-GB"/>
        </w:rPr>
      </w:pPr>
      <w:r w:rsidRPr="004C3B64">
        <w:rPr>
          <w:rFonts w:eastAsia="Calibri"/>
          <w:lang w:val="en-GB" w:bidi="en-GB"/>
        </w:rPr>
        <w:t>Important information</w:t>
      </w:r>
    </w:p>
    <w:p w14:paraId="2552B6B3" w14:textId="7C5498FE" w:rsidR="002D3B73" w:rsidRPr="001F446D" w:rsidRDefault="002D3B73" w:rsidP="003669E0">
      <w:pPr>
        <w:rPr>
          <w:rFonts w:ascii="Times New Roman" w:hAnsi="Times New Roman" w:cs="Times New Roman"/>
          <w:szCs w:val="24"/>
        </w:rPr>
      </w:pPr>
      <w:r>
        <w:t>Tenders</w:t>
      </w:r>
      <w:r w:rsidRPr="004C3B64">
        <w:t xml:space="preserve"> must</w:t>
      </w:r>
      <w:r>
        <w:t xml:space="preserve"> be </w:t>
      </w:r>
      <w:r w:rsidRPr="00E54975">
        <w:t>delivered</w:t>
      </w:r>
      <w:r w:rsidR="00470ACD">
        <w:t xml:space="preserve"> to</w:t>
      </w:r>
      <w:r w:rsidRPr="00E54975">
        <w:t xml:space="preserve"> </w:t>
      </w:r>
      <w:r>
        <w:t xml:space="preserve">the Embassy of Sweden, </w:t>
      </w:r>
      <w:r w:rsidR="001F446D" w:rsidRPr="00093D9E">
        <w:rPr>
          <w:rFonts w:ascii="Times New Roman" w:hAnsi="Times New Roman" w:cs="Times New Roman"/>
          <w:szCs w:val="24"/>
        </w:rPr>
        <w:t>1166 Park Street, Hatfield</w:t>
      </w:r>
      <w:r w:rsidR="001F446D">
        <w:rPr>
          <w:rFonts w:ascii="Times New Roman" w:hAnsi="Times New Roman" w:cs="Times New Roman"/>
          <w:szCs w:val="24"/>
        </w:rPr>
        <w:t>, Pretoria, 0083</w:t>
      </w:r>
      <w:r w:rsidRPr="00E54975">
        <w:t xml:space="preserve"> </w:t>
      </w:r>
      <w:r w:rsidRPr="00C91819">
        <w:t>no later than</w:t>
      </w:r>
      <w:r w:rsidRPr="00E54975">
        <w:t xml:space="preserve"> </w:t>
      </w:r>
      <w:r w:rsidR="008B47EC">
        <w:t>1</w:t>
      </w:r>
      <w:r w:rsidR="008B47EC" w:rsidRPr="008B47EC">
        <w:rPr>
          <w:vertAlign w:val="superscript"/>
        </w:rPr>
        <w:t>st</w:t>
      </w:r>
      <w:r w:rsidR="008B47EC">
        <w:t xml:space="preserve"> </w:t>
      </w:r>
      <w:r w:rsidR="001F446D">
        <w:t xml:space="preserve">of </w:t>
      </w:r>
      <w:r w:rsidR="008B19FC">
        <w:t>March</w:t>
      </w:r>
      <w:r w:rsidR="001F446D">
        <w:t xml:space="preserve"> 202</w:t>
      </w:r>
      <w:r w:rsidR="004F0ED4">
        <w:t>4</w:t>
      </w:r>
      <w:r w:rsidR="001F446D">
        <w:t>, at 1</w:t>
      </w:r>
      <w:r w:rsidR="008B47EC">
        <w:t>3.00</w:t>
      </w:r>
      <w:r w:rsidR="001F446D">
        <w:t xml:space="preserve"> </w:t>
      </w:r>
      <w:proofErr w:type="gramStart"/>
      <w:r w:rsidR="001F446D">
        <w:t>hours</w:t>
      </w:r>
      <w:proofErr w:type="gramEnd"/>
    </w:p>
    <w:p w14:paraId="02075400" w14:textId="034D8705" w:rsidR="002D3B73" w:rsidRDefault="002D3B73" w:rsidP="003669E0">
      <w:r w:rsidRPr="0019132D">
        <w:t xml:space="preserve">The Embassy of Sweden </w:t>
      </w:r>
      <w:r>
        <w:t xml:space="preserve">in </w:t>
      </w:r>
      <w:r w:rsidR="001F446D">
        <w:t>Pretoria</w:t>
      </w:r>
      <w:r>
        <w:t xml:space="preserve"> </w:t>
      </w:r>
      <w:r w:rsidRPr="0019132D">
        <w:t>recommends that the tenderer, as soon as possible after receipt of this invitation, take note of the requirements in this dossier. Some of the requested documentation m</w:t>
      </w:r>
      <w:r>
        <w:t>ay have to</w:t>
      </w:r>
      <w:r w:rsidRPr="0019132D">
        <w:t xml:space="preserve"> be obtained from designated authorities, which can result</w:t>
      </w:r>
      <w:r>
        <w:t xml:space="preserve"> in</w:t>
      </w:r>
      <w:r w:rsidRPr="0019132D">
        <w:t xml:space="preserve"> </w:t>
      </w:r>
      <w:r>
        <w:t>long lead times</w:t>
      </w:r>
      <w:r w:rsidRPr="0019132D">
        <w:t xml:space="preserve">. Note that requirements defined as “must” or “shall” </w:t>
      </w:r>
      <w:r>
        <w:t xml:space="preserve">are mandatory and must be fulfilled </w:t>
      </w:r>
      <w:proofErr w:type="gramStart"/>
      <w:r>
        <w:t>in order to</w:t>
      </w:r>
      <w:proofErr w:type="gramEnd"/>
      <w:r w:rsidRPr="0019132D">
        <w:t xml:space="preserve"> qualify for evaluation.</w:t>
      </w:r>
    </w:p>
    <w:p w14:paraId="7DF0968B" w14:textId="654023EF" w:rsidR="002D3B73" w:rsidRPr="001F446D" w:rsidRDefault="002D3B73" w:rsidP="003669E0">
      <w:pPr>
        <w:rPr>
          <w:b/>
          <w:bCs/>
          <w:color w:val="FF0000"/>
        </w:rPr>
      </w:pPr>
      <w:r w:rsidRPr="0019132D">
        <w:t>Requests for clarification or additions to the procurement document shall be submitted in writing via</w:t>
      </w:r>
      <w:r w:rsidR="00EE4A21">
        <w:t xml:space="preserve"> </w:t>
      </w:r>
      <w:hyperlink r:id="rId12" w:history="1">
        <w:r w:rsidR="00125D3D" w:rsidRPr="00B73AE0">
          <w:rPr>
            <w:rStyle w:val="Hyperlink"/>
          </w:rPr>
          <w:t>ambassaden.pretoria-sida@gov.se</w:t>
        </w:r>
      </w:hyperlink>
      <w:r w:rsidR="00EE4A21">
        <w:t xml:space="preserve"> </w:t>
      </w:r>
      <w:r w:rsidRPr="0019132D">
        <w:t xml:space="preserve">and marked with </w:t>
      </w:r>
      <w:r w:rsidR="001F446D" w:rsidRPr="004F0ED4">
        <w:rPr>
          <w:b/>
          <w:bCs/>
        </w:rPr>
        <w:t>UM2023/02835/PRET.</w:t>
      </w:r>
      <w:r w:rsidRPr="004F0ED4">
        <w:t xml:space="preserve"> </w:t>
      </w:r>
      <w:r w:rsidRPr="0019132D">
        <w:t xml:space="preserve">The deadline for submitting questions </w:t>
      </w:r>
      <w:proofErr w:type="gramStart"/>
      <w:r w:rsidRPr="0019132D">
        <w:t>is:</w:t>
      </w:r>
      <w:proofErr w:type="gramEnd"/>
      <w:r w:rsidRPr="0019132D">
        <w:t xml:space="preserve"> </w:t>
      </w:r>
      <w:r w:rsidR="00073DF0">
        <w:rPr>
          <w:rFonts w:eastAsia="Calibri"/>
          <w:lang w:bidi="en-GB"/>
        </w:rPr>
        <w:t>1</w:t>
      </w:r>
      <w:r w:rsidR="008B47EC">
        <w:rPr>
          <w:rFonts w:eastAsia="Calibri"/>
          <w:lang w:bidi="en-GB"/>
        </w:rPr>
        <w:t>5</w:t>
      </w:r>
      <w:proofErr w:type="spellStart"/>
      <w:r w:rsidR="005819DB" w:rsidRPr="005819DB">
        <w:rPr>
          <w:rFonts w:eastAsia="Calibri"/>
          <w:vertAlign w:val="superscript"/>
          <w:lang w:val="en-GB" w:bidi="en-GB"/>
        </w:rPr>
        <w:t>th</w:t>
      </w:r>
      <w:proofErr w:type="spellEnd"/>
      <w:r w:rsidR="005819DB">
        <w:rPr>
          <w:rFonts w:eastAsia="Calibri"/>
          <w:lang w:val="en-GB" w:bidi="en-GB"/>
        </w:rPr>
        <w:t xml:space="preserve"> of </w:t>
      </w:r>
      <w:r w:rsidR="00176BFD">
        <w:rPr>
          <w:rFonts w:eastAsia="Calibri"/>
          <w:lang w:val="en-GB" w:bidi="en-GB"/>
        </w:rPr>
        <w:t>February</w:t>
      </w:r>
      <w:r w:rsidR="005819DB">
        <w:rPr>
          <w:rFonts w:eastAsia="Calibri"/>
          <w:lang w:val="en-GB" w:bidi="en-GB"/>
        </w:rPr>
        <w:t xml:space="preserve"> 202</w:t>
      </w:r>
      <w:r w:rsidR="004F0ED4">
        <w:rPr>
          <w:rFonts w:eastAsia="Calibri"/>
          <w:lang w:val="en-GB" w:bidi="en-GB"/>
        </w:rPr>
        <w:t>4</w:t>
      </w:r>
      <w:r>
        <w:rPr>
          <w:rFonts w:eastAsia="Calibri"/>
          <w:lang w:val="en-GB" w:bidi="en-GB"/>
        </w:rPr>
        <w:t>.</w:t>
      </w:r>
    </w:p>
    <w:p w14:paraId="65DB36CA" w14:textId="2E0E7F62" w:rsidR="002D3B73" w:rsidRPr="0019132D" w:rsidRDefault="002D3B73" w:rsidP="003669E0">
      <w:r w:rsidRPr="0019132D">
        <w:t xml:space="preserve"> Response (QA) to questions </w:t>
      </w:r>
      <w:r>
        <w:t>will be posted</w:t>
      </w:r>
      <w:r w:rsidRPr="0019132D">
        <w:t xml:space="preserve"> </w:t>
      </w:r>
      <w:r>
        <w:t xml:space="preserve">at the </w:t>
      </w:r>
      <w:r w:rsidRPr="0019132D">
        <w:t>Embassy</w:t>
      </w:r>
      <w:r>
        <w:t>’s website</w:t>
      </w:r>
      <w:r w:rsidRPr="0019132D">
        <w:t xml:space="preserve"> at: </w:t>
      </w:r>
      <w:hyperlink r:id="rId13" w:history="1">
        <w:r w:rsidR="005819DB" w:rsidRPr="00821AF1">
          <w:rPr>
            <w:rStyle w:val="Hyperlink"/>
          </w:rPr>
          <w:t>www.swedenabroad.se\pretoria</w:t>
        </w:r>
      </w:hyperlink>
      <w:r w:rsidR="005819DB">
        <w:t xml:space="preserve"> </w:t>
      </w:r>
      <w:r w:rsidR="00470ACD">
        <w:t xml:space="preserve">no later than six (6) days before the tender submission deadline. </w:t>
      </w:r>
    </w:p>
    <w:p w14:paraId="25D1DD11" w14:textId="77777777" w:rsidR="002D3B73" w:rsidRPr="002571BD" w:rsidRDefault="002D3B73" w:rsidP="002D3B73">
      <w:pPr>
        <w:spacing w:line="259" w:lineRule="auto"/>
        <w:rPr>
          <w:rFonts w:asciiTheme="majorHAnsi" w:eastAsia="Calibri" w:hAnsiTheme="majorHAnsi" w:cstheme="majorHAnsi"/>
          <w:b/>
          <w:color w:val="000000" w:themeColor="text1"/>
          <w:sz w:val="36"/>
          <w:szCs w:val="36"/>
          <w:lang w:val="en-GB" w:bidi="en-GB"/>
        </w:rPr>
      </w:pPr>
      <w:r w:rsidRPr="002571BD">
        <w:rPr>
          <w:rFonts w:asciiTheme="majorHAnsi" w:eastAsia="Calibri" w:hAnsiTheme="majorHAnsi" w:cstheme="majorHAnsi"/>
          <w:b/>
          <w:color w:val="000000" w:themeColor="text1"/>
          <w:lang w:val="en-GB" w:bidi="en-GB"/>
        </w:rPr>
        <w:br w:type="page"/>
      </w:r>
    </w:p>
    <w:p w14:paraId="7F1AAE69" w14:textId="77777777" w:rsidR="002D3B73" w:rsidRPr="003669E0" w:rsidRDefault="002D3B73" w:rsidP="003669E0">
      <w:pPr>
        <w:pStyle w:val="Heading1"/>
      </w:pPr>
      <w:r w:rsidRPr="003669E0">
        <w:lastRenderedPageBreak/>
        <w:t>1. General orientation</w:t>
      </w:r>
    </w:p>
    <w:p w14:paraId="3DA1FF29" w14:textId="53F7D19D" w:rsidR="002D3B73" w:rsidRPr="003669E0" w:rsidRDefault="002D3B73" w:rsidP="003669E0">
      <w:pPr>
        <w:pStyle w:val="Heading2"/>
      </w:pPr>
      <w:r w:rsidRPr="003669E0">
        <w:t>1.1. Overall description of the procurement</w:t>
      </w:r>
    </w:p>
    <w:p w14:paraId="0AC69C0B" w14:textId="74064E8D" w:rsidR="002D3B73" w:rsidRPr="00093D9E" w:rsidRDefault="00093D9E" w:rsidP="003669E0">
      <w:pPr>
        <w:rPr>
          <w:rFonts w:ascii="Times New Roman" w:hAnsi="Times New Roman" w:cs="Times New Roman"/>
          <w:szCs w:val="24"/>
        </w:rPr>
      </w:pPr>
      <w:r w:rsidRPr="00093D9E">
        <w:rPr>
          <w:rFonts w:ascii="Times New Roman" w:hAnsi="Times New Roman" w:cs="Times New Roman"/>
          <w:szCs w:val="24"/>
        </w:rPr>
        <w:t xml:space="preserve">The Embassy intends to enter contracts with </w:t>
      </w:r>
      <w:r w:rsidR="009F2365">
        <w:rPr>
          <w:rFonts w:ascii="Times New Roman" w:hAnsi="Times New Roman" w:cs="Times New Roman"/>
          <w:szCs w:val="24"/>
        </w:rPr>
        <w:t>three</w:t>
      </w:r>
      <w:r w:rsidRPr="00093D9E">
        <w:rPr>
          <w:rFonts w:ascii="Times New Roman" w:hAnsi="Times New Roman" w:cs="Times New Roman"/>
          <w:szCs w:val="24"/>
        </w:rPr>
        <w:t xml:space="preserve"> (</w:t>
      </w:r>
      <w:r w:rsidR="006217E3">
        <w:rPr>
          <w:rFonts w:ascii="Times New Roman" w:hAnsi="Times New Roman" w:cs="Times New Roman"/>
          <w:szCs w:val="24"/>
        </w:rPr>
        <w:t>3</w:t>
      </w:r>
      <w:r w:rsidRPr="00093D9E">
        <w:rPr>
          <w:rFonts w:ascii="Times New Roman" w:hAnsi="Times New Roman" w:cs="Times New Roman"/>
          <w:szCs w:val="24"/>
        </w:rPr>
        <w:t xml:space="preserve">) audit firms </w:t>
      </w:r>
      <w:proofErr w:type="gramStart"/>
      <w:r w:rsidRPr="00093D9E">
        <w:rPr>
          <w:rFonts w:ascii="Times New Roman" w:hAnsi="Times New Roman" w:cs="Times New Roman"/>
          <w:szCs w:val="24"/>
        </w:rPr>
        <w:t>assuming that</w:t>
      </w:r>
      <w:proofErr w:type="gramEnd"/>
      <w:r w:rsidRPr="00093D9E">
        <w:rPr>
          <w:rFonts w:ascii="Times New Roman" w:hAnsi="Times New Roman" w:cs="Times New Roman"/>
          <w:szCs w:val="24"/>
        </w:rPr>
        <w:t xml:space="preserve"> at least </w:t>
      </w:r>
      <w:r w:rsidR="00F10510">
        <w:rPr>
          <w:rFonts w:ascii="Times New Roman" w:hAnsi="Times New Roman" w:cs="Times New Roman"/>
          <w:szCs w:val="24"/>
        </w:rPr>
        <w:t>three</w:t>
      </w:r>
      <w:r w:rsidRPr="00093D9E">
        <w:rPr>
          <w:rFonts w:ascii="Times New Roman" w:hAnsi="Times New Roman" w:cs="Times New Roman"/>
          <w:szCs w:val="24"/>
        </w:rPr>
        <w:t xml:space="preserve"> comply with the requirements stated in this Invitation to Tender. The Embassy aims at concluding the Framework Agreement to apply from </w:t>
      </w:r>
      <w:r w:rsidR="004F0ED4">
        <w:rPr>
          <w:rFonts w:ascii="Times New Roman" w:hAnsi="Times New Roman" w:cs="Times New Roman"/>
          <w:szCs w:val="24"/>
        </w:rPr>
        <w:t>March</w:t>
      </w:r>
      <w:r w:rsidR="00073DF0">
        <w:rPr>
          <w:rFonts w:ascii="Times New Roman" w:hAnsi="Times New Roman" w:cs="Times New Roman"/>
          <w:szCs w:val="24"/>
        </w:rPr>
        <w:t xml:space="preserve"> / April</w:t>
      </w:r>
      <w:r w:rsidRPr="00093D9E">
        <w:rPr>
          <w:rFonts w:ascii="Times New Roman" w:hAnsi="Times New Roman" w:cs="Times New Roman"/>
          <w:szCs w:val="24"/>
        </w:rPr>
        <w:t xml:space="preserve"> 202</w:t>
      </w:r>
      <w:r w:rsidR="004F0ED4">
        <w:rPr>
          <w:rFonts w:ascii="Times New Roman" w:hAnsi="Times New Roman" w:cs="Times New Roman"/>
          <w:szCs w:val="24"/>
        </w:rPr>
        <w:t>4</w:t>
      </w:r>
      <w:r>
        <w:rPr>
          <w:rFonts w:ascii="Times New Roman" w:hAnsi="Times New Roman" w:cs="Times New Roman"/>
          <w:szCs w:val="24"/>
        </w:rPr>
        <w:t xml:space="preserve"> for</w:t>
      </w:r>
      <w:r w:rsidRPr="00093D9E">
        <w:rPr>
          <w:rFonts w:ascii="Times New Roman" w:hAnsi="Times New Roman" w:cs="Times New Roman"/>
          <w:szCs w:val="24"/>
        </w:rPr>
        <w:t xml:space="preserve"> a period of </w:t>
      </w:r>
      <w:r w:rsidR="00FB21E3">
        <w:rPr>
          <w:rFonts w:ascii="Times New Roman" w:hAnsi="Times New Roman" w:cs="Times New Roman"/>
          <w:szCs w:val="24"/>
        </w:rPr>
        <w:t>t</w:t>
      </w:r>
      <w:r w:rsidR="00DB1220">
        <w:rPr>
          <w:rFonts w:ascii="Times New Roman" w:hAnsi="Times New Roman" w:cs="Times New Roman"/>
          <w:szCs w:val="24"/>
        </w:rPr>
        <w:t>wo</w:t>
      </w:r>
      <w:r w:rsidRPr="00093D9E">
        <w:rPr>
          <w:rFonts w:ascii="Times New Roman" w:hAnsi="Times New Roman" w:cs="Times New Roman"/>
          <w:szCs w:val="24"/>
        </w:rPr>
        <w:t xml:space="preserve"> </w:t>
      </w:r>
      <w:r w:rsidR="0060420C">
        <w:rPr>
          <w:rFonts w:ascii="Times New Roman" w:hAnsi="Times New Roman" w:cs="Times New Roman"/>
          <w:szCs w:val="24"/>
        </w:rPr>
        <w:t>(</w:t>
      </w:r>
      <w:r w:rsidR="00DB1220">
        <w:rPr>
          <w:rFonts w:ascii="Times New Roman" w:hAnsi="Times New Roman" w:cs="Times New Roman"/>
          <w:szCs w:val="24"/>
        </w:rPr>
        <w:t>2</w:t>
      </w:r>
      <w:r w:rsidR="0060420C">
        <w:rPr>
          <w:rFonts w:ascii="Times New Roman" w:hAnsi="Times New Roman" w:cs="Times New Roman"/>
          <w:szCs w:val="24"/>
        </w:rPr>
        <w:t xml:space="preserve">) </w:t>
      </w:r>
      <w:r w:rsidRPr="00093D9E">
        <w:rPr>
          <w:rFonts w:ascii="Times New Roman" w:hAnsi="Times New Roman" w:cs="Times New Roman"/>
          <w:szCs w:val="24"/>
        </w:rPr>
        <w:t>years</w:t>
      </w:r>
      <w:r w:rsidR="0060420C">
        <w:rPr>
          <w:rFonts w:ascii="Times New Roman" w:hAnsi="Times New Roman" w:cs="Times New Roman"/>
          <w:szCs w:val="24"/>
        </w:rPr>
        <w:t xml:space="preserve"> + 1</w:t>
      </w:r>
      <w:r w:rsidR="00073DF0">
        <w:rPr>
          <w:rFonts w:ascii="Times New Roman" w:hAnsi="Times New Roman" w:cs="Times New Roman"/>
          <w:szCs w:val="24"/>
        </w:rPr>
        <w:t xml:space="preserve"> </w:t>
      </w:r>
      <w:r w:rsidR="00DB1220">
        <w:rPr>
          <w:rFonts w:ascii="Times New Roman" w:hAnsi="Times New Roman" w:cs="Times New Roman"/>
          <w:szCs w:val="24"/>
        </w:rPr>
        <w:t xml:space="preserve">+1 </w:t>
      </w:r>
      <w:r w:rsidR="0060420C">
        <w:rPr>
          <w:rFonts w:ascii="Times New Roman" w:hAnsi="Times New Roman" w:cs="Times New Roman"/>
          <w:szCs w:val="24"/>
        </w:rPr>
        <w:t>year of possible extension</w:t>
      </w:r>
      <w:r w:rsidRPr="00093D9E">
        <w:rPr>
          <w:rFonts w:ascii="Times New Roman" w:hAnsi="Times New Roman" w:cs="Times New Roman"/>
          <w:szCs w:val="24"/>
        </w:rPr>
        <w:t>. The contracts may be extended twice with unaltered conditions for a period of twelve months for each extension.</w:t>
      </w:r>
    </w:p>
    <w:p w14:paraId="005D04CD" w14:textId="77777777" w:rsidR="002D3B73" w:rsidRPr="003669E0" w:rsidRDefault="002D3B73" w:rsidP="003669E0">
      <w:pPr>
        <w:pStyle w:val="Heading2"/>
      </w:pPr>
      <w:r w:rsidRPr="003669E0">
        <w:t>1.2. Information on the contracting authority</w:t>
      </w:r>
    </w:p>
    <w:p w14:paraId="0B8DE5CC" w14:textId="1C1F36EF" w:rsidR="002D3B73" w:rsidRPr="00093D9E" w:rsidRDefault="002D3B73" w:rsidP="00706477">
      <w:pPr>
        <w:rPr>
          <w:b/>
          <w:bCs/>
        </w:rPr>
      </w:pPr>
      <w:r w:rsidRPr="00093D9E">
        <w:rPr>
          <w:b/>
          <w:bCs/>
        </w:rPr>
        <w:t xml:space="preserve">The Embassy of Sweden in </w:t>
      </w:r>
      <w:r w:rsidR="00093D9E" w:rsidRPr="00093D9E">
        <w:rPr>
          <w:b/>
          <w:bCs/>
        </w:rPr>
        <w:t>Pretoria</w:t>
      </w:r>
    </w:p>
    <w:p w14:paraId="1291134F" w14:textId="77777777" w:rsidR="00093D9E" w:rsidRPr="00093D9E" w:rsidRDefault="00093D9E" w:rsidP="00093D9E">
      <w:pPr>
        <w:rPr>
          <w:rFonts w:ascii="Times New Roman" w:hAnsi="Times New Roman" w:cs="Times New Roman"/>
          <w:szCs w:val="24"/>
        </w:rPr>
      </w:pPr>
      <w:r w:rsidRPr="00093D9E">
        <w:rPr>
          <w:rFonts w:ascii="Times New Roman" w:hAnsi="Times New Roman" w:cs="Times New Roman"/>
          <w:szCs w:val="24"/>
        </w:rPr>
        <w:t>Embassy of Sweden, Pretoria</w:t>
      </w:r>
    </w:p>
    <w:p w14:paraId="629E839B" w14:textId="77777777" w:rsidR="00093D9E" w:rsidRPr="00093D9E" w:rsidRDefault="00093D9E" w:rsidP="00093D9E">
      <w:pPr>
        <w:rPr>
          <w:rFonts w:ascii="Times New Roman" w:hAnsi="Times New Roman" w:cs="Times New Roman"/>
          <w:szCs w:val="24"/>
        </w:rPr>
      </w:pPr>
      <w:r w:rsidRPr="00093D9E">
        <w:rPr>
          <w:rFonts w:ascii="Times New Roman" w:hAnsi="Times New Roman" w:cs="Times New Roman"/>
          <w:szCs w:val="24"/>
        </w:rPr>
        <w:t xml:space="preserve"> 1 </w:t>
      </w:r>
      <w:proofErr w:type="spellStart"/>
      <w:r w:rsidRPr="00093D9E">
        <w:rPr>
          <w:rFonts w:ascii="Times New Roman" w:hAnsi="Times New Roman" w:cs="Times New Roman"/>
          <w:szCs w:val="24"/>
        </w:rPr>
        <w:t>iParioli</w:t>
      </w:r>
      <w:proofErr w:type="spellEnd"/>
      <w:r w:rsidRPr="00093D9E">
        <w:rPr>
          <w:rFonts w:ascii="Times New Roman" w:hAnsi="Times New Roman" w:cs="Times New Roman"/>
          <w:szCs w:val="24"/>
        </w:rPr>
        <w:t xml:space="preserve"> Complex</w:t>
      </w:r>
    </w:p>
    <w:p w14:paraId="762BBD34" w14:textId="0070859F" w:rsidR="00093D9E" w:rsidRPr="00093D9E" w:rsidRDefault="00093D9E" w:rsidP="00093D9E">
      <w:pPr>
        <w:rPr>
          <w:rFonts w:ascii="Times New Roman" w:hAnsi="Times New Roman" w:cs="Times New Roman"/>
          <w:szCs w:val="24"/>
        </w:rPr>
      </w:pPr>
      <w:r w:rsidRPr="00093D9E">
        <w:rPr>
          <w:rFonts w:ascii="Times New Roman" w:hAnsi="Times New Roman" w:cs="Times New Roman"/>
          <w:szCs w:val="24"/>
        </w:rPr>
        <w:t>1166 Park Street, Hatfield</w:t>
      </w:r>
    </w:p>
    <w:p w14:paraId="4E52A35B" w14:textId="121008A8" w:rsidR="00093D9E" w:rsidRPr="00093D9E" w:rsidRDefault="00093D9E" w:rsidP="00706477">
      <w:pPr>
        <w:rPr>
          <w:rFonts w:ascii="Times New Roman" w:hAnsi="Times New Roman" w:cs="Times New Roman"/>
          <w:szCs w:val="24"/>
        </w:rPr>
      </w:pPr>
      <w:r w:rsidRPr="00093D9E">
        <w:rPr>
          <w:rFonts w:ascii="Times New Roman" w:hAnsi="Times New Roman" w:cs="Times New Roman"/>
          <w:szCs w:val="24"/>
        </w:rPr>
        <w:t>Pretoria</w:t>
      </w:r>
      <w:r>
        <w:rPr>
          <w:rFonts w:ascii="Times New Roman" w:hAnsi="Times New Roman" w:cs="Times New Roman"/>
          <w:szCs w:val="24"/>
        </w:rPr>
        <w:t xml:space="preserve">, </w:t>
      </w:r>
      <w:r w:rsidRPr="00093D9E">
        <w:rPr>
          <w:rFonts w:ascii="Times New Roman" w:hAnsi="Times New Roman" w:cs="Times New Roman"/>
          <w:szCs w:val="24"/>
        </w:rPr>
        <w:t>0083</w:t>
      </w:r>
      <w:r w:rsidR="001807A6">
        <w:rPr>
          <w:rFonts w:ascii="Times New Roman" w:hAnsi="Times New Roman" w:cs="Times New Roman"/>
          <w:szCs w:val="24"/>
        </w:rPr>
        <w:t>0</w:t>
      </w:r>
    </w:p>
    <w:p w14:paraId="52F08C8A" w14:textId="77777777" w:rsidR="00180969" w:rsidRDefault="00180969" w:rsidP="00180969">
      <w:pPr>
        <w:rPr>
          <w:rFonts w:ascii="Times New Roman" w:hAnsi="Times New Roman" w:cs="Times New Roman"/>
          <w:szCs w:val="24"/>
        </w:rPr>
      </w:pPr>
      <w:r w:rsidRPr="00180969">
        <w:rPr>
          <w:rFonts w:ascii="Times New Roman" w:hAnsi="Times New Roman" w:cs="Times New Roman"/>
          <w:szCs w:val="24"/>
        </w:rPr>
        <w:t>The Embassy of Sweden in Pretoria through its development cooperation has the main objective of SRHR (Sexual and Reproductive Health and Rights) in South Africa and across the African continent. The new strategy is 2022 to 2026. Our budget is approximately 700 million SEK (around 70 million USD) per year, which is invested in various projects. A hub för democracy/human rights is based at embassy working regionally without any delegation of funds.</w:t>
      </w:r>
    </w:p>
    <w:p w14:paraId="64776986" w14:textId="7DB9BB41" w:rsidR="00180969" w:rsidRPr="00180969" w:rsidRDefault="00180969" w:rsidP="00180969">
      <w:pPr>
        <w:rPr>
          <w:rFonts w:ascii="Times New Roman" w:hAnsi="Times New Roman" w:cs="Times New Roman"/>
          <w:szCs w:val="24"/>
        </w:rPr>
      </w:pPr>
      <w:r w:rsidRPr="00180969">
        <w:rPr>
          <w:rFonts w:ascii="Times New Roman" w:hAnsi="Times New Roman" w:cs="Times New Roman"/>
          <w:szCs w:val="24"/>
        </w:rPr>
        <w:t>Our portfolio consists of current and planned projects are spread across the continent in countries such as South Africa, Zimbabwe, Zambia, DRC, Uganda, Tanzania, South Sudan, Mali</w:t>
      </w:r>
      <w:r w:rsidR="005819DB">
        <w:rPr>
          <w:rFonts w:ascii="Times New Roman" w:hAnsi="Times New Roman" w:cs="Times New Roman"/>
          <w:szCs w:val="24"/>
        </w:rPr>
        <w:t xml:space="preserve">, Senegal, ……. </w:t>
      </w:r>
      <w:r w:rsidRPr="00180969">
        <w:rPr>
          <w:rFonts w:ascii="Times New Roman" w:hAnsi="Times New Roman" w:cs="Times New Roman"/>
          <w:szCs w:val="24"/>
        </w:rPr>
        <w:t xml:space="preserve">among others. </w:t>
      </w:r>
      <w:r w:rsidR="00F46ACD">
        <w:rPr>
          <w:rFonts w:ascii="Times New Roman" w:hAnsi="Times New Roman" w:cs="Times New Roman"/>
          <w:szCs w:val="24"/>
        </w:rPr>
        <w:t xml:space="preserve">Projects with UN agencies, AU (African Union), SADC, EAC, ECOWAS and other INGOs will be covered by this regional strategy. </w:t>
      </w:r>
      <w:r w:rsidRPr="00180969">
        <w:rPr>
          <w:rFonts w:ascii="Times New Roman" w:hAnsi="Times New Roman" w:cs="Times New Roman"/>
          <w:szCs w:val="24"/>
        </w:rPr>
        <w:t>Nord African countries are not a part of our strategy. Details on the specific projects and countries shall be provided during Call-Off requests for proposal.</w:t>
      </w:r>
    </w:p>
    <w:p w14:paraId="09080D0E" w14:textId="77777777" w:rsidR="00180969" w:rsidRPr="00180969" w:rsidRDefault="00180969" w:rsidP="00706477">
      <w:pPr>
        <w:rPr>
          <w:lang w:bidi="en-GB"/>
        </w:rPr>
      </w:pPr>
    </w:p>
    <w:p w14:paraId="591F4E40" w14:textId="0355546A" w:rsidR="002D3B73" w:rsidRPr="004B49EC" w:rsidRDefault="002D3B73" w:rsidP="004B49EC">
      <w:pPr>
        <w:pStyle w:val="Heading2"/>
      </w:pPr>
      <w:r w:rsidRPr="004B49EC">
        <w:t xml:space="preserve">1.4. </w:t>
      </w:r>
      <w:bookmarkStart w:id="1" w:name="_Hlk505605234"/>
      <w:r w:rsidRPr="004B49EC">
        <w:t xml:space="preserve">Eligible to call-off </w:t>
      </w:r>
      <w:bookmarkEnd w:id="1"/>
    </w:p>
    <w:p w14:paraId="113E36FA" w14:textId="26670DAD" w:rsidR="002D3B73" w:rsidRPr="007422EB" w:rsidRDefault="00093D9E" w:rsidP="00B152D7">
      <w:pPr>
        <w:rPr>
          <w:rFonts w:ascii="Times New Roman" w:hAnsi="Times New Roman" w:cs="Times New Roman"/>
          <w:szCs w:val="24"/>
        </w:rPr>
      </w:pPr>
      <w:r w:rsidRPr="007422EB">
        <w:rPr>
          <w:rFonts w:ascii="Times New Roman" w:hAnsi="Times New Roman" w:cs="Times New Roman"/>
          <w:szCs w:val="24"/>
        </w:rPr>
        <w:t xml:space="preserve">Only the Embassy of Sweden in </w:t>
      </w:r>
      <w:r w:rsidR="007422EB" w:rsidRPr="007422EB">
        <w:rPr>
          <w:rFonts w:ascii="Times New Roman" w:hAnsi="Times New Roman" w:cs="Times New Roman"/>
          <w:szCs w:val="24"/>
        </w:rPr>
        <w:t>Pretoria</w:t>
      </w:r>
      <w:r w:rsidRPr="007422EB">
        <w:rPr>
          <w:rFonts w:ascii="Times New Roman" w:hAnsi="Times New Roman" w:cs="Times New Roman"/>
          <w:szCs w:val="24"/>
        </w:rPr>
        <w:t xml:space="preserve"> will be entitled to make call offs from the framework agreement.</w:t>
      </w:r>
    </w:p>
    <w:p w14:paraId="304F5CC4" w14:textId="77777777" w:rsidR="002D3B73" w:rsidRPr="00B152D7" w:rsidRDefault="002D3B73" w:rsidP="00B152D7">
      <w:pPr>
        <w:pStyle w:val="Heading2"/>
      </w:pPr>
      <w:r w:rsidRPr="00B152D7">
        <w:t>1.5. Purpose and background of the procurement</w:t>
      </w:r>
    </w:p>
    <w:p w14:paraId="6FA6941B" w14:textId="7B9406B9" w:rsidR="002D3B73" w:rsidRDefault="007422EB" w:rsidP="00B152D7">
      <w:pPr>
        <w:rPr>
          <w:rFonts w:ascii="Times New Roman" w:hAnsi="Times New Roman" w:cs="Times New Roman"/>
          <w:szCs w:val="24"/>
        </w:rPr>
      </w:pPr>
      <w:r w:rsidRPr="007422EB">
        <w:rPr>
          <w:rFonts w:ascii="Times New Roman" w:hAnsi="Times New Roman" w:cs="Times New Roman"/>
          <w:szCs w:val="24"/>
        </w:rPr>
        <w:t xml:space="preserve">The framework agreement presented here is aimed for audit services where the Embassy is contract holder: The agreements Sweden hold with partner </w:t>
      </w:r>
      <w:proofErr w:type="spellStart"/>
      <w:r w:rsidRPr="007422EB">
        <w:rPr>
          <w:rFonts w:ascii="Times New Roman" w:hAnsi="Times New Roman" w:cs="Times New Roman"/>
          <w:szCs w:val="24"/>
        </w:rPr>
        <w:t>organisations</w:t>
      </w:r>
      <w:proofErr w:type="spellEnd"/>
      <w:r w:rsidRPr="007422EB">
        <w:rPr>
          <w:rFonts w:ascii="Times New Roman" w:hAnsi="Times New Roman" w:cs="Times New Roman"/>
          <w:szCs w:val="24"/>
        </w:rPr>
        <w:t xml:space="preserve"> grant the Embassy the right to commission special audits of partners, such as value for money audits, expenditure verifications, efficiency audits </w:t>
      </w:r>
      <w:proofErr w:type="spellStart"/>
      <w:r w:rsidRPr="007422EB">
        <w:rPr>
          <w:rFonts w:ascii="Times New Roman" w:hAnsi="Times New Roman" w:cs="Times New Roman"/>
          <w:szCs w:val="24"/>
        </w:rPr>
        <w:t>etc</w:t>
      </w:r>
      <w:proofErr w:type="spellEnd"/>
      <w:r w:rsidRPr="007422EB">
        <w:rPr>
          <w:rFonts w:ascii="Times New Roman" w:hAnsi="Times New Roman" w:cs="Times New Roman"/>
          <w:szCs w:val="24"/>
        </w:rPr>
        <w:t xml:space="preserve">, for which the Embassy will be the contracting party. These framework agreements will be used for such audits. Under special circumstances, it could also be an annual financial audit at a partner organization, where the Embassy then is the contract </w:t>
      </w:r>
      <w:r w:rsidRPr="007422EB">
        <w:rPr>
          <w:rFonts w:ascii="Times New Roman" w:hAnsi="Times New Roman" w:cs="Times New Roman"/>
          <w:szCs w:val="24"/>
        </w:rPr>
        <w:lastRenderedPageBreak/>
        <w:t xml:space="preserve">holder. Furthermore, in connection with the preparation of possible support to institutions and organizations, the Embassy might also commission pre award audits, capacity studies or internal control reviews. Such pre-award audits form important parts of the assessment and give guidance to the design of the collaboration between the Embassy and the partner </w:t>
      </w:r>
      <w:proofErr w:type="spellStart"/>
      <w:r w:rsidRPr="007422EB">
        <w:rPr>
          <w:rFonts w:ascii="Times New Roman" w:hAnsi="Times New Roman" w:cs="Times New Roman"/>
          <w:szCs w:val="24"/>
        </w:rPr>
        <w:t>organisation</w:t>
      </w:r>
      <w:proofErr w:type="spellEnd"/>
      <w:r w:rsidRPr="007422EB">
        <w:rPr>
          <w:rFonts w:ascii="Times New Roman" w:hAnsi="Times New Roman" w:cs="Times New Roman"/>
          <w:szCs w:val="24"/>
        </w:rPr>
        <w:t xml:space="preserve">. In suspicion of embezzlement and other corrupt practices, the Embassy need to call for investigative reviews and forensic audits on short notice. The Embassy also wants the framework agreements to include the possibility to call off advisory services and training sessions with Embassy staff and partner </w:t>
      </w:r>
      <w:proofErr w:type="spellStart"/>
      <w:r w:rsidRPr="007422EB">
        <w:rPr>
          <w:rFonts w:ascii="Times New Roman" w:hAnsi="Times New Roman" w:cs="Times New Roman"/>
          <w:szCs w:val="24"/>
        </w:rPr>
        <w:t>organisations</w:t>
      </w:r>
      <w:proofErr w:type="spellEnd"/>
      <w:r w:rsidRPr="007422EB">
        <w:rPr>
          <w:rFonts w:ascii="Times New Roman" w:hAnsi="Times New Roman" w:cs="Times New Roman"/>
          <w:szCs w:val="24"/>
        </w:rPr>
        <w:t>.</w:t>
      </w:r>
    </w:p>
    <w:p w14:paraId="78D2EB74" w14:textId="73B6EF95" w:rsidR="001B5A11" w:rsidRPr="007422EB" w:rsidRDefault="001B5A11" w:rsidP="00B152D7">
      <w:pPr>
        <w:rPr>
          <w:rFonts w:ascii="Times New Roman" w:hAnsi="Times New Roman" w:cs="Times New Roman"/>
          <w:szCs w:val="24"/>
        </w:rPr>
      </w:pPr>
      <w:r w:rsidRPr="001B5A11">
        <w:rPr>
          <w:rFonts w:ascii="Times New Roman" w:hAnsi="Times New Roman" w:cs="Times New Roman"/>
          <w:szCs w:val="24"/>
        </w:rPr>
        <w:t>It should be noted that the Framework Agreement will not include any guarantees of volume of services to be required/provided</w:t>
      </w:r>
    </w:p>
    <w:p w14:paraId="648CC5E5" w14:textId="1767133E" w:rsidR="002D3B73" w:rsidRPr="00B152D7" w:rsidRDefault="002D3B73" w:rsidP="00B152D7">
      <w:pPr>
        <w:pStyle w:val="Heading2"/>
      </w:pPr>
      <w:r w:rsidRPr="00B152D7">
        <w:t>1.6. Description of the service</w:t>
      </w:r>
      <w:r w:rsidR="008927F1">
        <w:t>s</w:t>
      </w:r>
      <w:r w:rsidRPr="00B152D7">
        <w:t xml:space="preserve"> to be procured</w:t>
      </w:r>
    </w:p>
    <w:p w14:paraId="13A02C45" w14:textId="5457F02E" w:rsidR="00171E7F" w:rsidRPr="00F606DF" w:rsidRDefault="00171E7F" w:rsidP="00171E7F">
      <w:pPr>
        <w:pStyle w:val="ListParagraph"/>
        <w:numPr>
          <w:ilvl w:val="1"/>
          <w:numId w:val="33"/>
        </w:numPr>
        <w:spacing w:line="276" w:lineRule="auto"/>
        <w:rPr>
          <w:rFonts w:ascii="Times New Roman" w:hAnsi="Times New Roman" w:cs="Times New Roman"/>
          <w:szCs w:val="24"/>
        </w:rPr>
      </w:pPr>
      <w:r w:rsidRPr="00F606DF">
        <w:rPr>
          <w:rFonts w:ascii="Times New Roman" w:hAnsi="Times New Roman" w:cs="Times New Roman"/>
          <w:b/>
          <w:bCs/>
          <w:szCs w:val="24"/>
        </w:rPr>
        <w:t>Capacity and Internal Control Assessment</w:t>
      </w:r>
    </w:p>
    <w:p w14:paraId="02CF1C33" w14:textId="77777777" w:rsidR="00171E7F" w:rsidRPr="00F606DF" w:rsidRDefault="00171E7F" w:rsidP="00171E7F">
      <w:pPr>
        <w:pStyle w:val="ListParagraph"/>
        <w:spacing w:line="276" w:lineRule="auto"/>
        <w:rPr>
          <w:rFonts w:ascii="Times New Roman" w:hAnsi="Times New Roman" w:cs="Times New Roman"/>
          <w:szCs w:val="24"/>
        </w:rPr>
      </w:pPr>
    </w:p>
    <w:p w14:paraId="5E798ECB" w14:textId="4CA5F31F" w:rsidR="00171E7F" w:rsidRDefault="00171E7F" w:rsidP="00171E7F">
      <w:pPr>
        <w:pStyle w:val="ListParagraph"/>
        <w:numPr>
          <w:ilvl w:val="1"/>
          <w:numId w:val="33"/>
        </w:numPr>
        <w:spacing w:line="276" w:lineRule="auto"/>
        <w:rPr>
          <w:rFonts w:ascii="Times New Roman" w:hAnsi="Times New Roman" w:cs="Times New Roman"/>
          <w:szCs w:val="24"/>
        </w:rPr>
      </w:pPr>
      <w:r w:rsidRPr="00F606DF">
        <w:rPr>
          <w:rFonts w:ascii="Times New Roman" w:hAnsi="Times New Roman" w:cs="Times New Roman"/>
          <w:b/>
          <w:bCs/>
          <w:szCs w:val="24"/>
        </w:rPr>
        <w:t>Other Risk Management Assessments</w:t>
      </w:r>
    </w:p>
    <w:p w14:paraId="7867D969" w14:textId="77777777" w:rsidR="00171E7F" w:rsidRDefault="00171E7F" w:rsidP="00171E7F">
      <w:pPr>
        <w:pStyle w:val="ListParagraph"/>
        <w:spacing w:line="276" w:lineRule="auto"/>
        <w:rPr>
          <w:rFonts w:ascii="Times New Roman" w:hAnsi="Times New Roman" w:cs="Times New Roman"/>
          <w:szCs w:val="24"/>
        </w:rPr>
      </w:pPr>
    </w:p>
    <w:p w14:paraId="430C95EB" w14:textId="77777777" w:rsidR="00171E7F" w:rsidRPr="002B2913" w:rsidRDefault="00171E7F" w:rsidP="00171E7F">
      <w:pPr>
        <w:pStyle w:val="ListParagraph"/>
        <w:numPr>
          <w:ilvl w:val="1"/>
          <w:numId w:val="33"/>
        </w:numPr>
        <w:spacing w:line="276" w:lineRule="auto"/>
        <w:rPr>
          <w:rFonts w:ascii="Times New Roman" w:hAnsi="Times New Roman" w:cs="Times New Roman"/>
          <w:b/>
          <w:bCs/>
          <w:szCs w:val="24"/>
        </w:rPr>
      </w:pPr>
      <w:r w:rsidRPr="002B2913">
        <w:rPr>
          <w:rFonts w:ascii="Times New Roman" w:hAnsi="Times New Roman" w:cs="Times New Roman"/>
          <w:b/>
          <w:bCs/>
          <w:szCs w:val="24"/>
        </w:rPr>
        <w:t>Procurement Audit</w:t>
      </w:r>
    </w:p>
    <w:p w14:paraId="372F9C16" w14:textId="77777777" w:rsidR="00171E7F" w:rsidRPr="00F606DF" w:rsidRDefault="00171E7F" w:rsidP="00171E7F">
      <w:pPr>
        <w:pStyle w:val="ListParagraph"/>
        <w:spacing w:line="276" w:lineRule="auto"/>
        <w:rPr>
          <w:rFonts w:ascii="Times New Roman" w:hAnsi="Times New Roman" w:cs="Times New Roman"/>
          <w:szCs w:val="24"/>
        </w:rPr>
      </w:pPr>
    </w:p>
    <w:p w14:paraId="3883B6B5" w14:textId="156CC102" w:rsidR="00171E7F" w:rsidRPr="00F606DF" w:rsidRDefault="00171E7F" w:rsidP="00171E7F">
      <w:pPr>
        <w:pStyle w:val="ListParagraph"/>
        <w:numPr>
          <w:ilvl w:val="1"/>
          <w:numId w:val="33"/>
        </w:numPr>
        <w:spacing w:line="276" w:lineRule="auto"/>
        <w:rPr>
          <w:rFonts w:ascii="Times New Roman" w:hAnsi="Times New Roman" w:cs="Times New Roman"/>
          <w:szCs w:val="24"/>
        </w:rPr>
      </w:pPr>
      <w:r w:rsidRPr="00F606DF">
        <w:rPr>
          <w:rFonts w:ascii="Times New Roman" w:hAnsi="Times New Roman" w:cs="Times New Roman"/>
          <w:b/>
          <w:bCs/>
          <w:szCs w:val="24"/>
        </w:rPr>
        <w:t>Investigations and Forensic Services</w:t>
      </w:r>
      <w:r w:rsidRPr="00F606DF">
        <w:rPr>
          <w:rFonts w:ascii="Times New Roman" w:hAnsi="Times New Roman" w:cs="Times New Roman"/>
          <w:szCs w:val="24"/>
        </w:rPr>
        <w:t xml:space="preserve"> </w:t>
      </w:r>
    </w:p>
    <w:p w14:paraId="300518DE" w14:textId="77777777" w:rsidR="00171E7F" w:rsidRPr="00F606DF" w:rsidRDefault="00171E7F" w:rsidP="00171E7F">
      <w:pPr>
        <w:pStyle w:val="ListParagraph"/>
        <w:spacing w:line="276" w:lineRule="auto"/>
        <w:rPr>
          <w:rFonts w:ascii="Times New Roman" w:hAnsi="Times New Roman" w:cs="Times New Roman"/>
          <w:szCs w:val="24"/>
        </w:rPr>
      </w:pPr>
    </w:p>
    <w:p w14:paraId="4E97D1B1" w14:textId="08352DEA" w:rsidR="00171E7F" w:rsidRPr="00F606DF" w:rsidRDefault="00171E7F" w:rsidP="00171E7F">
      <w:pPr>
        <w:pStyle w:val="ListParagraph"/>
        <w:numPr>
          <w:ilvl w:val="1"/>
          <w:numId w:val="33"/>
        </w:numPr>
        <w:spacing w:line="276" w:lineRule="auto"/>
        <w:rPr>
          <w:rFonts w:ascii="Times New Roman" w:hAnsi="Times New Roman" w:cs="Times New Roman"/>
          <w:szCs w:val="24"/>
        </w:rPr>
      </w:pPr>
      <w:r w:rsidRPr="00F606DF">
        <w:rPr>
          <w:rFonts w:ascii="Times New Roman" w:hAnsi="Times New Roman" w:cs="Times New Roman"/>
          <w:b/>
          <w:bCs/>
          <w:szCs w:val="24"/>
        </w:rPr>
        <w:t>Rolling Audit Services</w:t>
      </w:r>
    </w:p>
    <w:p w14:paraId="3154535C" w14:textId="77777777" w:rsidR="00171E7F" w:rsidRPr="00F606DF" w:rsidRDefault="00171E7F" w:rsidP="00171E7F">
      <w:pPr>
        <w:pStyle w:val="ListParagraph"/>
        <w:spacing w:line="276" w:lineRule="auto"/>
        <w:rPr>
          <w:rFonts w:ascii="Times New Roman" w:hAnsi="Times New Roman" w:cs="Times New Roman"/>
          <w:szCs w:val="24"/>
        </w:rPr>
      </w:pPr>
    </w:p>
    <w:p w14:paraId="0B0EC505" w14:textId="2FDE5122" w:rsidR="00171E7F" w:rsidRPr="00F606DF" w:rsidRDefault="00171E7F" w:rsidP="00171E7F">
      <w:pPr>
        <w:pStyle w:val="ListParagraph"/>
        <w:numPr>
          <w:ilvl w:val="1"/>
          <w:numId w:val="33"/>
        </w:numPr>
        <w:spacing w:line="276" w:lineRule="auto"/>
        <w:rPr>
          <w:rFonts w:ascii="Times New Roman" w:hAnsi="Times New Roman" w:cs="Times New Roman"/>
          <w:szCs w:val="24"/>
        </w:rPr>
      </w:pPr>
      <w:r w:rsidRPr="00F606DF">
        <w:rPr>
          <w:rFonts w:ascii="Times New Roman" w:hAnsi="Times New Roman" w:cs="Times New Roman"/>
          <w:b/>
          <w:bCs/>
          <w:szCs w:val="24"/>
        </w:rPr>
        <w:t>Financial Audits</w:t>
      </w:r>
      <w:r w:rsidR="001E4CEA">
        <w:rPr>
          <w:rFonts w:ascii="Times New Roman" w:hAnsi="Times New Roman" w:cs="Times New Roman"/>
          <w:b/>
          <w:bCs/>
          <w:szCs w:val="24"/>
        </w:rPr>
        <w:t xml:space="preserve"> (Different ISA)</w:t>
      </w:r>
    </w:p>
    <w:p w14:paraId="50A90710" w14:textId="77777777" w:rsidR="00171E7F" w:rsidRPr="00F606DF" w:rsidRDefault="00171E7F" w:rsidP="00171E7F">
      <w:pPr>
        <w:pStyle w:val="ListParagraph"/>
        <w:spacing w:line="276" w:lineRule="auto"/>
        <w:rPr>
          <w:rFonts w:ascii="Times New Roman" w:hAnsi="Times New Roman" w:cs="Times New Roman"/>
          <w:szCs w:val="24"/>
        </w:rPr>
      </w:pPr>
    </w:p>
    <w:p w14:paraId="7F80DE21" w14:textId="5B3A1C52" w:rsidR="00171E7F" w:rsidRPr="00F606DF" w:rsidRDefault="00171E7F" w:rsidP="00171E7F">
      <w:pPr>
        <w:pStyle w:val="ListParagraph"/>
        <w:numPr>
          <w:ilvl w:val="1"/>
          <w:numId w:val="33"/>
        </w:numPr>
        <w:rPr>
          <w:rFonts w:ascii="Times New Roman" w:hAnsi="Times New Roman" w:cs="Times New Roman"/>
          <w:szCs w:val="24"/>
        </w:rPr>
      </w:pPr>
      <w:r w:rsidRPr="00F606DF">
        <w:rPr>
          <w:rFonts w:ascii="Times New Roman" w:hAnsi="Times New Roman" w:cs="Times New Roman"/>
          <w:b/>
          <w:bCs/>
          <w:szCs w:val="24"/>
        </w:rPr>
        <w:t>Accounting and Risk Management Technical Support</w:t>
      </w:r>
    </w:p>
    <w:p w14:paraId="0DD698B8" w14:textId="77777777" w:rsidR="00171E7F" w:rsidRPr="00F606DF" w:rsidRDefault="00171E7F" w:rsidP="00171E7F">
      <w:pPr>
        <w:pStyle w:val="ListParagraph"/>
        <w:rPr>
          <w:rFonts w:ascii="Times New Roman" w:hAnsi="Times New Roman" w:cs="Times New Roman"/>
          <w:szCs w:val="24"/>
        </w:rPr>
      </w:pPr>
    </w:p>
    <w:p w14:paraId="16667649" w14:textId="711F98E8" w:rsidR="00171E7F" w:rsidRDefault="00171E7F" w:rsidP="00171E7F">
      <w:pPr>
        <w:pStyle w:val="ListParagraph"/>
        <w:numPr>
          <w:ilvl w:val="1"/>
          <w:numId w:val="33"/>
        </w:numPr>
        <w:rPr>
          <w:rFonts w:ascii="Times New Roman" w:hAnsi="Times New Roman" w:cs="Times New Roman"/>
          <w:b/>
          <w:bCs/>
          <w:szCs w:val="24"/>
        </w:rPr>
      </w:pPr>
      <w:r w:rsidRPr="00171E7F">
        <w:rPr>
          <w:rFonts w:ascii="Times New Roman" w:hAnsi="Times New Roman" w:cs="Times New Roman"/>
          <w:b/>
          <w:bCs/>
          <w:szCs w:val="24"/>
        </w:rPr>
        <w:t>Capacity Building Services</w:t>
      </w:r>
    </w:p>
    <w:p w14:paraId="207B08A7" w14:textId="77777777" w:rsidR="007A2682" w:rsidRPr="007A2682" w:rsidRDefault="007A2682" w:rsidP="007A2682">
      <w:pPr>
        <w:pStyle w:val="ListParagraph"/>
        <w:rPr>
          <w:rFonts w:ascii="Times New Roman" w:hAnsi="Times New Roman" w:cs="Times New Roman"/>
          <w:b/>
          <w:bCs/>
          <w:szCs w:val="24"/>
        </w:rPr>
      </w:pPr>
    </w:p>
    <w:p w14:paraId="28AA5849" w14:textId="72B50737" w:rsidR="002D3B73" w:rsidRPr="00B152D7" w:rsidRDefault="002D3B73" w:rsidP="00B152D7">
      <w:pPr>
        <w:pStyle w:val="Heading2"/>
      </w:pPr>
      <w:r w:rsidRPr="00B152D7">
        <w:t xml:space="preserve">1.7. Framework agreement period </w:t>
      </w:r>
    </w:p>
    <w:p w14:paraId="7B16050B" w14:textId="5062935F" w:rsidR="002D3B73" w:rsidRDefault="00DE7DCE" w:rsidP="00B152D7">
      <w:pPr>
        <w:rPr>
          <w:color w:val="000000"/>
        </w:rPr>
      </w:pPr>
      <w:r>
        <w:rPr>
          <w:color w:val="FF0000"/>
          <w:lang w:val="en-GB" w:bidi="en-GB"/>
        </w:rPr>
        <w:br/>
      </w:r>
      <w:r w:rsidR="002D3B73">
        <w:rPr>
          <w:lang w:val="en-GB" w:bidi="en-GB"/>
        </w:rPr>
        <w:t>The framework agreement period</w:t>
      </w:r>
      <w:r w:rsidR="00213ADE">
        <w:rPr>
          <w:lang w:val="en-GB" w:bidi="en-GB"/>
        </w:rPr>
        <w:t xml:space="preserve"> </w:t>
      </w:r>
      <w:r w:rsidR="002D3B73">
        <w:rPr>
          <w:lang w:val="en-GB" w:bidi="en-GB"/>
        </w:rPr>
        <w:t xml:space="preserve">runs for </w:t>
      </w:r>
      <w:r w:rsidR="00176BFD">
        <w:rPr>
          <w:lang w:val="en-GB" w:bidi="en-GB"/>
        </w:rPr>
        <w:t>24</w:t>
      </w:r>
      <w:r w:rsidR="002D3B73">
        <w:rPr>
          <w:lang w:val="en-GB" w:bidi="en-GB"/>
        </w:rPr>
        <w:t xml:space="preserve"> calendar months. The Embassy is entitled (though not obligated) to extend the framework agreement by </w:t>
      </w:r>
      <w:r w:rsidR="00176BFD">
        <w:rPr>
          <w:lang w:val="en-GB" w:bidi="en-GB"/>
        </w:rPr>
        <w:t xml:space="preserve">two times </w:t>
      </w:r>
      <w:r w:rsidR="00830303">
        <w:rPr>
          <w:lang w:val="en-GB" w:bidi="en-GB"/>
        </w:rPr>
        <w:t>12</w:t>
      </w:r>
      <w:r w:rsidR="002D3B73">
        <w:rPr>
          <w:lang w:val="en-GB" w:bidi="en-GB"/>
        </w:rPr>
        <w:t xml:space="preserve"> months at a time, with unaltered terms and conditions. The total framework agreement period</w:t>
      </w:r>
      <w:r w:rsidR="00213ADE">
        <w:rPr>
          <w:lang w:val="en-GB" w:bidi="en-GB"/>
        </w:rPr>
        <w:t xml:space="preserve"> </w:t>
      </w:r>
      <w:r w:rsidR="002D3B73">
        <w:rPr>
          <w:lang w:val="en-GB" w:bidi="en-GB"/>
        </w:rPr>
        <w:t xml:space="preserve">shall not exceed </w:t>
      </w:r>
      <w:r w:rsidR="00213ADE">
        <w:rPr>
          <w:lang w:val="en-GB" w:bidi="en-GB"/>
        </w:rPr>
        <w:t>60</w:t>
      </w:r>
      <w:r w:rsidR="002D3B73">
        <w:rPr>
          <w:lang w:val="en-GB" w:bidi="en-GB"/>
        </w:rPr>
        <w:t xml:space="preserve"> months.</w:t>
      </w:r>
    </w:p>
    <w:p w14:paraId="16CC733B" w14:textId="57D79300" w:rsidR="002D3B73" w:rsidRDefault="002D3B73" w:rsidP="00B152D7">
      <w:pPr>
        <w:rPr>
          <w:i/>
        </w:rPr>
      </w:pPr>
      <w:r>
        <w:rPr>
          <w:lang w:val="en-GB" w:bidi="en-GB"/>
        </w:rPr>
        <w:t>The framework agreement</w:t>
      </w:r>
      <w:r w:rsidR="00213ADE">
        <w:rPr>
          <w:lang w:val="en-GB" w:bidi="en-GB"/>
        </w:rPr>
        <w:t xml:space="preserve"> </w:t>
      </w:r>
      <w:r>
        <w:rPr>
          <w:lang w:val="en-GB" w:bidi="en-GB"/>
        </w:rPr>
        <w:t xml:space="preserve">start date is estimated at: </w:t>
      </w:r>
      <w:r w:rsidR="00A26CA6">
        <w:rPr>
          <w:lang w:val="en-GB" w:bidi="en-GB"/>
        </w:rPr>
        <w:t>April/</w:t>
      </w:r>
      <w:r w:rsidR="004F0ED4">
        <w:rPr>
          <w:lang w:val="en-GB" w:bidi="en-GB"/>
        </w:rPr>
        <w:t>Ma</w:t>
      </w:r>
      <w:r w:rsidR="00A26CA6">
        <w:rPr>
          <w:lang w:val="en-GB" w:bidi="en-GB"/>
        </w:rPr>
        <w:t>y</w:t>
      </w:r>
      <w:r w:rsidR="00213ADE">
        <w:rPr>
          <w:lang w:val="en-GB" w:bidi="en-GB"/>
        </w:rPr>
        <w:t xml:space="preserve"> 202</w:t>
      </w:r>
      <w:r w:rsidR="004F0ED4">
        <w:rPr>
          <w:lang w:val="en-GB" w:bidi="en-GB"/>
        </w:rPr>
        <w:t>4</w:t>
      </w:r>
    </w:p>
    <w:p w14:paraId="3C6D5834" w14:textId="77777777" w:rsidR="002D3B73" w:rsidRPr="00B152D7" w:rsidRDefault="002D3B73" w:rsidP="00B152D7">
      <w:pPr>
        <w:pStyle w:val="Heading2"/>
      </w:pPr>
      <w:r w:rsidRPr="00B152D7">
        <w:t xml:space="preserve">1.8. Volumes </w:t>
      </w:r>
    </w:p>
    <w:p w14:paraId="66185103" w14:textId="025BD080" w:rsidR="00A84488" w:rsidRPr="00B152D7" w:rsidRDefault="002D3B73" w:rsidP="00B152D7">
      <w:r w:rsidRPr="00B152D7">
        <w:t>During the framework agreement period</w:t>
      </w:r>
      <w:r w:rsidR="00D53EC0">
        <w:t xml:space="preserve"> of maximum </w:t>
      </w:r>
      <w:r w:rsidR="00E22874">
        <w:t>4</w:t>
      </w:r>
      <w:r w:rsidR="00D53EC0">
        <w:t xml:space="preserve"> years</w:t>
      </w:r>
      <w:r w:rsidRPr="00B152D7">
        <w:t>, the estimated value</w:t>
      </w:r>
      <w:r w:rsidRPr="00D7000F">
        <w:t xml:space="preserve"> </w:t>
      </w:r>
      <w:r w:rsidRPr="00B152D7">
        <w:t xml:space="preserve">is approximately </w:t>
      </w:r>
      <w:r w:rsidR="00D53EC0">
        <w:t>1</w:t>
      </w:r>
      <w:r w:rsidR="00176BFD">
        <w:t>5</w:t>
      </w:r>
      <w:r w:rsidR="00D53EC0">
        <w:t> 000 000</w:t>
      </w:r>
      <w:r w:rsidRPr="00B152D7">
        <w:t xml:space="preserve"> SEK, excl. VAT.</w:t>
      </w:r>
      <w:r w:rsidR="006914A9">
        <w:t xml:space="preserve"> </w:t>
      </w:r>
      <w:r w:rsidR="00A84488" w:rsidRPr="00A84488">
        <w:t xml:space="preserve">If this maximum budget is reached, the </w:t>
      </w:r>
      <w:r w:rsidR="001E4CEA">
        <w:t xml:space="preserve">Embassy has the right to terminate or extend the </w:t>
      </w:r>
      <w:r w:rsidR="00A84488" w:rsidRPr="00A84488">
        <w:t>framework agreement</w:t>
      </w:r>
      <w:r w:rsidR="001E4CEA">
        <w:t>.</w:t>
      </w:r>
    </w:p>
    <w:p w14:paraId="5614A0A1" w14:textId="19011242" w:rsidR="002D3B73" w:rsidRDefault="002D3B73" w:rsidP="00B152D7">
      <w:r>
        <w:rPr>
          <w:lang w:val="en-GB" w:bidi="en-GB"/>
        </w:rPr>
        <w:t xml:space="preserve">No guarantee of obtaining a certain volume is provided. </w:t>
      </w:r>
    </w:p>
    <w:p w14:paraId="2DA3D9EE" w14:textId="702A9043" w:rsidR="002D3B73" w:rsidRPr="00B152D7" w:rsidRDefault="008B19FC" w:rsidP="00B152D7">
      <w:pPr>
        <w:pStyle w:val="Heading2"/>
      </w:pPr>
      <w:hyperlink r:id="rId14" w:history="1">
        <w:r w:rsidR="002D3B73" w:rsidRPr="00B152D7">
          <w:rPr>
            <w:rStyle w:val="Hyperlink"/>
            <w:color w:val="auto"/>
          </w:rPr>
          <w:t>1.</w:t>
        </w:r>
        <w:r w:rsidR="001E4CEA">
          <w:rPr>
            <w:rStyle w:val="Hyperlink"/>
            <w:color w:val="auto"/>
          </w:rPr>
          <w:t>09</w:t>
        </w:r>
        <w:r w:rsidR="002D3B73" w:rsidRPr="00B152D7">
          <w:rPr>
            <w:rStyle w:val="Hyperlink"/>
            <w:color w:val="auto"/>
          </w:rPr>
          <w:t xml:space="preserve">. The opportunity to submit a tender on all or part of the procurement </w:t>
        </w:r>
      </w:hyperlink>
    </w:p>
    <w:p w14:paraId="4443FE1F" w14:textId="7FF3CFE3" w:rsidR="002D3B73" w:rsidRDefault="002D3B73" w:rsidP="00A20AC6">
      <w:pPr>
        <w:spacing w:after="80"/>
      </w:pPr>
      <w:r>
        <w:rPr>
          <w:lang w:bidi="en-GB"/>
        </w:rPr>
        <w:br/>
        <w:t xml:space="preserve">Tenders shall cover the entire procurement. </w:t>
      </w:r>
    </w:p>
    <w:p w14:paraId="7F78D043" w14:textId="485BDED6" w:rsidR="002D3B73" w:rsidRPr="00B152D7" w:rsidRDefault="002D3B73" w:rsidP="00B152D7">
      <w:pPr>
        <w:pStyle w:val="Heading2"/>
      </w:pPr>
      <w:r w:rsidRPr="00B152D7">
        <w:t>1.1</w:t>
      </w:r>
      <w:r w:rsidR="001E4CEA">
        <w:t>0</w:t>
      </w:r>
      <w:r w:rsidRPr="00B152D7">
        <w:t>. Reasons relating to the decision not to divide the framework agreement</w:t>
      </w:r>
    </w:p>
    <w:p w14:paraId="58DA94D9" w14:textId="13F18670" w:rsidR="002D3B73" w:rsidRPr="00A43F03" w:rsidRDefault="00A43F03" w:rsidP="00D7000F">
      <w:pPr>
        <w:rPr>
          <w:lang w:bidi="en-GB"/>
        </w:rPr>
      </w:pPr>
      <w:r>
        <w:rPr>
          <w:lang w:bidi="en-GB"/>
        </w:rPr>
        <w:t xml:space="preserve">The reason for the procurement not being divided into different lots is that it is likely that the Embassy needs to call for assignments where at least two different kinds of audit services are combined. Some of our partners have </w:t>
      </w:r>
      <w:proofErr w:type="spellStart"/>
      <w:r>
        <w:rPr>
          <w:lang w:bidi="en-GB"/>
        </w:rPr>
        <w:t>differ</w:t>
      </w:r>
      <w:r w:rsidR="00C0069F">
        <w:rPr>
          <w:lang w:bidi="en-GB"/>
        </w:rPr>
        <w:t>e</w:t>
      </w:r>
      <w:r>
        <w:rPr>
          <w:lang w:bidi="en-GB"/>
        </w:rPr>
        <w:t>nts</w:t>
      </w:r>
      <w:proofErr w:type="spellEnd"/>
      <w:r>
        <w:rPr>
          <w:lang w:bidi="en-GB"/>
        </w:rPr>
        <w:t xml:space="preserve"> partners in different countries with different capacities and needs.</w:t>
      </w:r>
    </w:p>
    <w:p w14:paraId="548D2212" w14:textId="6AFBEBAF" w:rsidR="002D3B73" w:rsidRPr="00B152D7" w:rsidRDefault="002D3B73" w:rsidP="00B152D7">
      <w:pPr>
        <w:pStyle w:val="Heading2"/>
      </w:pPr>
      <w:r w:rsidRPr="00B152D7">
        <w:t>1.1</w:t>
      </w:r>
      <w:r w:rsidR="001E4CEA">
        <w:t>1</w:t>
      </w:r>
      <w:r w:rsidRPr="00B152D7">
        <w:t xml:space="preserve">. </w:t>
      </w:r>
      <w:r w:rsidR="001658BD">
        <w:t>A</w:t>
      </w:r>
      <w:r w:rsidR="001658BD" w:rsidRPr="001658BD">
        <w:t>ppendices</w:t>
      </w:r>
    </w:p>
    <w:p w14:paraId="4560F331" w14:textId="368C2671" w:rsidR="002D3B73" w:rsidRDefault="002D3B73" w:rsidP="00DE7DCE">
      <w:pPr>
        <w:spacing w:after="80"/>
      </w:pPr>
      <w:r>
        <w:rPr>
          <w:lang w:val="en-GB" w:bidi="en-GB"/>
        </w:rPr>
        <w:t>The procurement document relating to th</w:t>
      </w:r>
      <w:r w:rsidR="000E4F6A">
        <w:rPr>
          <w:lang w:val="en-GB" w:bidi="en-GB"/>
        </w:rPr>
        <w:t>is</w:t>
      </w:r>
      <w:r>
        <w:rPr>
          <w:lang w:val="en-GB" w:bidi="en-GB"/>
        </w:rPr>
        <w:t xml:space="preserve"> procurement includes the following </w:t>
      </w:r>
      <w:r w:rsidR="001658BD" w:rsidRPr="001658BD">
        <w:rPr>
          <w:lang w:val="en-GB" w:bidi="en-GB"/>
        </w:rPr>
        <w:t>appendices</w:t>
      </w:r>
      <w:r>
        <w:rPr>
          <w:lang w:val="en-GB" w:bidi="en-GB"/>
        </w:rPr>
        <w:t>:</w:t>
      </w:r>
    </w:p>
    <w:p w14:paraId="4966C756" w14:textId="6E0EA700" w:rsidR="002D3B73" w:rsidRDefault="001658BD" w:rsidP="00DE7DCE">
      <w:pPr>
        <w:spacing w:after="80"/>
      </w:pPr>
      <w:r>
        <w:rPr>
          <w:lang w:val="en-GB" w:bidi="en-GB"/>
        </w:rPr>
        <w:t>Appendix</w:t>
      </w:r>
      <w:r w:rsidR="002D3B73">
        <w:rPr>
          <w:lang w:val="en-GB" w:bidi="en-GB"/>
        </w:rPr>
        <w:t xml:space="preserve"> </w:t>
      </w:r>
      <w:r w:rsidR="00213ADE">
        <w:rPr>
          <w:lang w:val="en-GB" w:bidi="en-GB"/>
        </w:rPr>
        <w:t>1</w:t>
      </w:r>
      <w:r w:rsidR="002D3B73">
        <w:rPr>
          <w:lang w:val="en-GB" w:bidi="en-GB"/>
        </w:rPr>
        <w:t xml:space="preserve"> </w:t>
      </w:r>
      <w:r w:rsidR="00584594">
        <w:rPr>
          <w:lang w:val="en-GB" w:bidi="en-GB"/>
        </w:rPr>
        <w:t>-</w:t>
      </w:r>
      <w:r w:rsidR="002D3B73">
        <w:rPr>
          <w:lang w:val="en-GB" w:bidi="en-GB"/>
        </w:rPr>
        <w:t xml:space="preserve"> Terms of Reference</w:t>
      </w:r>
    </w:p>
    <w:p w14:paraId="06FA162C" w14:textId="41D8F9C1" w:rsidR="002D3B73" w:rsidRDefault="001658BD" w:rsidP="00DE7DCE">
      <w:pPr>
        <w:spacing w:after="80"/>
        <w:rPr>
          <w:lang w:val="en-GB" w:bidi="en-GB"/>
        </w:rPr>
      </w:pPr>
      <w:r>
        <w:rPr>
          <w:lang w:val="en-GB" w:bidi="en-GB"/>
        </w:rPr>
        <w:t>Appendix</w:t>
      </w:r>
      <w:r w:rsidR="002D3B73">
        <w:rPr>
          <w:lang w:val="en-GB" w:bidi="en-GB"/>
        </w:rPr>
        <w:t xml:space="preserve"> </w:t>
      </w:r>
      <w:r w:rsidR="00213ADE">
        <w:rPr>
          <w:lang w:val="en-GB" w:bidi="en-GB"/>
        </w:rPr>
        <w:t>2</w:t>
      </w:r>
      <w:r w:rsidR="002D3B73">
        <w:rPr>
          <w:lang w:val="en-GB" w:bidi="en-GB"/>
        </w:rPr>
        <w:t xml:space="preserve"> </w:t>
      </w:r>
      <w:r w:rsidR="00584594">
        <w:rPr>
          <w:lang w:val="en-GB" w:bidi="en-GB"/>
        </w:rPr>
        <w:t>-</w:t>
      </w:r>
      <w:r w:rsidR="002D3B73">
        <w:rPr>
          <w:lang w:val="en-GB" w:bidi="en-GB"/>
        </w:rPr>
        <w:t xml:space="preserve"> </w:t>
      </w:r>
      <w:r w:rsidR="00EC7F8D">
        <w:rPr>
          <w:lang w:val="en-GB" w:bidi="en-GB"/>
        </w:rPr>
        <w:t>Draft of the framework agreement</w:t>
      </w:r>
    </w:p>
    <w:p w14:paraId="29F3F83E" w14:textId="1D4AA012" w:rsidR="00EB0653" w:rsidRPr="00470ACD" w:rsidRDefault="00EB0653" w:rsidP="00470ACD">
      <w:pPr>
        <w:spacing w:after="80"/>
        <w:rPr>
          <w:lang w:val="en-GB" w:bidi="en-GB"/>
        </w:rPr>
      </w:pPr>
      <w:r>
        <w:rPr>
          <w:lang w:val="en-GB" w:bidi="en-GB"/>
        </w:rPr>
        <w:t xml:space="preserve">Appendix </w:t>
      </w:r>
      <w:r w:rsidR="00213ADE">
        <w:rPr>
          <w:lang w:val="en-GB" w:bidi="en-GB"/>
        </w:rPr>
        <w:t>3</w:t>
      </w:r>
      <w:r>
        <w:rPr>
          <w:lang w:val="en-GB" w:bidi="en-GB"/>
        </w:rPr>
        <w:t xml:space="preserve"> </w:t>
      </w:r>
      <w:r w:rsidR="00584594">
        <w:rPr>
          <w:lang w:val="en-GB" w:bidi="en-GB"/>
        </w:rPr>
        <w:t>-</w:t>
      </w:r>
      <w:r>
        <w:rPr>
          <w:lang w:val="en-GB" w:bidi="en-GB"/>
        </w:rPr>
        <w:t xml:space="preserve"> </w:t>
      </w:r>
      <w:proofErr w:type="spellStart"/>
      <w:r w:rsidR="00470ACD" w:rsidRPr="00470ACD">
        <w:rPr>
          <w:lang w:val="en-GB" w:bidi="en-GB"/>
        </w:rPr>
        <w:t>Sida’s</w:t>
      </w:r>
      <w:proofErr w:type="spellEnd"/>
      <w:r w:rsidR="00470ACD" w:rsidRPr="00470ACD">
        <w:rPr>
          <w:lang w:val="en-GB" w:bidi="en-GB"/>
        </w:rPr>
        <w:t xml:space="preserve"> General Conditions for Framework </w:t>
      </w:r>
      <w:proofErr w:type="gramStart"/>
      <w:r w:rsidR="00470ACD" w:rsidRPr="00470ACD">
        <w:rPr>
          <w:lang w:val="en-GB" w:bidi="en-GB"/>
        </w:rPr>
        <w:t xml:space="preserve">Agreements </w:t>
      </w:r>
      <w:r w:rsidR="00470ACD">
        <w:rPr>
          <w:lang w:val="en-GB" w:bidi="en-GB"/>
        </w:rPr>
        <w:t xml:space="preserve"> </w:t>
      </w:r>
      <w:r w:rsidR="00470ACD" w:rsidRPr="00470ACD">
        <w:rPr>
          <w:lang w:val="en-GB" w:bidi="en-GB"/>
        </w:rPr>
        <w:t>and</w:t>
      </w:r>
      <w:proofErr w:type="gramEnd"/>
      <w:r w:rsidR="00470ACD" w:rsidRPr="00470ACD">
        <w:rPr>
          <w:lang w:val="en-GB" w:bidi="en-GB"/>
        </w:rPr>
        <w:t xml:space="preserve"> Contracts</w:t>
      </w:r>
      <w:r w:rsidR="00470ACD">
        <w:rPr>
          <w:lang w:val="en-GB" w:bidi="en-GB"/>
        </w:rPr>
        <w:t xml:space="preserve"> 202</w:t>
      </w:r>
      <w:r w:rsidR="008A7DE9">
        <w:rPr>
          <w:lang w:val="en-GB" w:bidi="en-GB"/>
        </w:rPr>
        <w:t>2</w:t>
      </w:r>
      <w:r w:rsidR="00470ACD">
        <w:rPr>
          <w:lang w:val="en-GB" w:bidi="en-GB"/>
        </w:rPr>
        <w:t xml:space="preserve">.1 </w:t>
      </w:r>
      <w:r>
        <w:rPr>
          <w:lang w:val="en-GB" w:bidi="en-GB"/>
        </w:rPr>
        <w:t xml:space="preserve"> </w:t>
      </w:r>
    </w:p>
    <w:p w14:paraId="433146FD" w14:textId="77F12EB6" w:rsidR="002D3B73" w:rsidRDefault="001658BD" w:rsidP="00DE7DCE">
      <w:pPr>
        <w:spacing w:after="80"/>
        <w:rPr>
          <w:i/>
          <w:iCs/>
          <w:color w:val="FF0000"/>
          <w:lang w:val="en-GB" w:bidi="en-GB"/>
        </w:rPr>
      </w:pPr>
      <w:r>
        <w:rPr>
          <w:lang w:val="en-GB" w:bidi="en-GB"/>
        </w:rPr>
        <w:t>Appendix</w:t>
      </w:r>
      <w:r w:rsidR="002D3B73">
        <w:rPr>
          <w:lang w:val="en-GB" w:bidi="en-GB"/>
        </w:rPr>
        <w:t xml:space="preserve"> </w:t>
      </w:r>
      <w:r w:rsidR="00213ADE">
        <w:rPr>
          <w:lang w:val="en-GB" w:bidi="en-GB"/>
        </w:rPr>
        <w:t>4</w:t>
      </w:r>
      <w:r w:rsidR="002D3B73">
        <w:rPr>
          <w:lang w:val="en-GB" w:bidi="en-GB"/>
        </w:rPr>
        <w:t xml:space="preserve"> </w:t>
      </w:r>
      <w:r w:rsidR="00584594">
        <w:rPr>
          <w:lang w:val="en-GB" w:bidi="en-GB"/>
        </w:rPr>
        <w:t>-</w:t>
      </w:r>
      <w:r w:rsidR="002D3B73">
        <w:rPr>
          <w:lang w:val="en-GB" w:bidi="en-GB"/>
        </w:rPr>
        <w:t xml:space="preserve"> </w:t>
      </w:r>
      <w:r w:rsidR="005243B6" w:rsidRPr="005243B6">
        <w:rPr>
          <w:lang w:val="en-GB" w:bidi="en-GB"/>
        </w:rPr>
        <w:t>Self Declaration for subcontractors on which the tenderer relies and consortium parties</w:t>
      </w:r>
      <w:r w:rsidR="005243B6">
        <w:rPr>
          <w:lang w:val="en-GB" w:bidi="en-GB"/>
        </w:rPr>
        <w:t xml:space="preserve"> </w:t>
      </w:r>
    </w:p>
    <w:p w14:paraId="244FBDA1" w14:textId="4F5DC2AB" w:rsidR="00332854" w:rsidRDefault="00332854" w:rsidP="00DE7DCE">
      <w:pPr>
        <w:spacing w:after="80"/>
        <w:rPr>
          <w:lang w:val="en-GB" w:bidi="en-GB"/>
        </w:rPr>
      </w:pPr>
      <w:r>
        <w:rPr>
          <w:lang w:val="en-GB" w:bidi="en-GB"/>
        </w:rPr>
        <w:t xml:space="preserve">Appendix </w:t>
      </w:r>
      <w:r w:rsidR="00213ADE">
        <w:rPr>
          <w:lang w:val="en-GB" w:bidi="en-GB"/>
        </w:rPr>
        <w:t>5</w:t>
      </w:r>
      <w:r>
        <w:rPr>
          <w:lang w:val="en-GB" w:bidi="en-GB"/>
        </w:rPr>
        <w:t xml:space="preserve"> </w:t>
      </w:r>
      <w:r w:rsidR="00584594">
        <w:rPr>
          <w:lang w:val="en-GB" w:bidi="en-GB"/>
        </w:rPr>
        <w:t>-</w:t>
      </w:r>
      <w:r>
        <w:rPr>
          <w:lang w:val="en-GB" w:bidi="en-GB"/>
        </w:rPr>
        <w:t xml:space="preserve"> Declaration of honour</w:t>
      </w:r>
    </w:p>
    <w:p w14:paraId="6047CFF8" w14:textId="63F4EEDC" w:rsidR="00EC7F8D" w:rsidRDefault="00EC7F8D" w:rsidP="00DE7DCE">
      <w:pPr>
        <w:spacing w:after="80"/>
        <w:rPr>
          <w:lang w:val="en-GB" w:bidi="en-GB"/>
        </w:rPr>
      </w:pPr>
      <w:r>
        <w:rPr>
          <w:lang w:val="en-GB" w:bidi="en-GB"/>
        </w:rPr>
        <w:t xml:space="preserve">Appendix </w:t>
      </w:r>
      <w:r w:rsidR="00213ADE">
        <w:rPr>
          <w:lang w:val="en-GB" w:bidi="en-GB"/>
        </w:rPr>
        <w:t>6</w:t>
      </w:r>
      <w:r>
        <w:rPr>
          <w:lang w:val="en-GB" w:bidi="en-GB"/>
        </w:rPr>
        <w:t xml:space="preserve"> </w:t>
      </w:r>
      <w:r w:rsidR="00584594">
        <w:rPr>
          <w:lang w:val="en-GB" w:bidi="en-GB"/>
        </w:rPr>
        <w:t>-</w:t>
      </w:r>
      <w:r>
        <w:rPr>
          <w:lang w:val="en-GB" w:bidi="en-GB"/>
        </w:rPr>
        <w:tab/>
      </w:r>
      <w:r w:rsidR="00332854">
        <w:rPr>
          <w:lang w:val="en-GB" w:bidi="en-GB"/>
        </w:rPr>
        <w:t>L</w:t>
      </w:r>
      <w:r>
        <w:rPr>
          <w:lang w:val="en-GB" w:bidi="en-GB"/>
        </w:rPr>
        <w:t>anguage level definition</w:t>
      </w:r>
    </w:p>
    <w:p w14:paraId="4BE3688E" w14:textId="61047A21" w:rsidR="00BB3D43" w:rsidRDefault="001658BD" w:rsidP="00DE7DCE">
      <w:pPr>
        <w:spacing w:after="80"/>
        <w:rPr>
          <w:lang w:val="en-GB" w:bidi="en-GB"/>
        </w:rPr>
      </w:pPr>
      <w:r>
        <w:rPr>
          <w:lang w:val="en-GB" w:bidi="en-GB"/>
        </w:rPr>
        <w:t>Appendix</w:t>
      </w:r>
      <w:r w:rsidR="00BB3D43" w:rsidRPr="00BB3D43">
        <w:rPr>
          <w:lang w:val="en-GB" w:bidi="en-GB"/>
        </w:rPr>
        <w:t xml:space="preserve"> </w:t>
      </w:r>
      <w:r w:rsidR="00213ADE">
        <w:rPr>
          <w:lang w:val="en-GB" w:bidi="en-GB"/>
        </w:rPr>
        <w:t>7</w:t>
      </w:r>
      <w:r w:rsidR="00BB3D43" w:rsidRPr="00BB3D43">
        <w:rPr>
          <w:lang w:val="en-GB" w:bidi="en-GB"/>
        </w:rPr>
        <w:t xml:space="preserve"> - Personal data processing</w:t>
      </w:r>
      <w:r w:rsidR="00213ADE">
        <w:rPr>
          <w:lang w:val="en-GB" w:bidi="en-GB"/>
        </w:rPr>
        <w:t xml:space="preserve"> agreement</w:t>
      </w:r>
    </w:p>
    <w:p w14:paraId="5042AC44" w14:textId="463220F1" w:rsidR="00882F0D" w:rsidRDefault="00882F0D" w:rsidP="00882F0D">
      <w:pPr>
        <w:spacing w:after="80"/>
      </w:pPr>
      <w:r>
        <w:t xml:space="preserve">Appendix 8 - Call-off inquiry ranked framework agreement </w:t>
      </w:r>
    </w:p>
    <w:p w14:paraId="04944F3A" w14:textId="31A38A01" w:rsidR="00882F0D" w:rsidRPr="00882F0D" w:rsidRDefault="00882F0D" w:rsidP="00DE7DCE">
      <w:pPr>
        <w:spacing w:after="80"/>
      </w:pPr>
      <w:r>
        <w:t>Appendix 9 - Call-off inquiry renewed competitive tendering</w:t>
      </w:r>
    </w:p>
    <w:p w14:paraId="5AC0008E" w14:textId="1C2E60B2" w:rsidR="00882F0D" w:rsidRDefault="00882F0D" w:rsidP="00DE7DCE">
      <w:pPr>
        <w:spacing w:after="80"/>
      </w:pPr>
      <w:r>
        <w:t xml:space="preserve">Appendix 10 - CV template consultant category 1 </w:t>
      </w:r>
    </w:p>
    <w:p w14:paraId="0B7BFDFE" w14:textId="1892F0C9" w:rsidR="00882F0D" w:rsidRDefault="00882F0D" w:rsidP="00DE7DCE">
      <w:pPr>
        <w:spacing w:after="80"/>
      </w:pPr>
      <w:r>
        <w:t xml:space="preserve">Appendix 11 - CV template consultant category 2 </w:t>
      </w:r>
    </w:p>
    <w:p w14:paraId="75C9E9C9" w14:textId="64A86232" w:rsidR="00AA5B0E" w:rsidRDefault="00AA5B0E" w:rsidP="00AA5B0E">
      <w:pPr>
        <w:spacing w:after="80"/>
      </w:pPr>
      <w:r>
        <w:t xml:space="preserve">Appendix 12 - CV template consultant category 3 </w:t>
      </w:r>
    </w:p>
    <w:p w14:paraId="582C0318" w14:textId="473AC555" w:rsidR="00AA5B0E" w:rsidRDefault="00CC12B0" w:rsidP="00DE7DCE">
      <w:pPr>
        <w:spacing w:after="80"/>
      </w:pPr>
      <w:r>
        <w:t xml:space="preserve">Appendix 13 </w:t>
      </w:r>
      <w:r w:rsidR="00C14298">
        <w:t>-</w:t>
      </w:r>
      <w:r>
        <w:t xml:space="preserve"> </w:t>
      </w:r>
      <w:r w:rsidR="000202CA">
        <w:t>Reference assignment</w:t>
      </w:r>
    </w:p>
    <w:p w14:paraId="2ADC2156" w14:textId="242BCEB7" w:rsidR="00C14298" w:rsidRDefault="00C14298" w:rsidP="00DE7DCE">
      <w:pPr>
        <w:spacing w:after="80"/>
      </w:pPr>
      <w:r>
        <w:t>Appendix 14 - List of Consultants</w:t>
      </w:r>
    </w:p>
    <w:p w14:paraId="6F23FEDB" w14:textId="77777777" w:rsidR="002D3B73" w:rsidRPr="002F5B85" w:rsidRDefault="002D3B73" w:rsidP="002F5B85">
      <w:pPr>
        <w:pStyle w:val="Heading1"/>
      </w:pPr>
      <w:r w:rsidRPr="002F5B85">
        <w:lastRenderedPageBreak/>
        <w:t>2. Administrative terms and conditions</w:t>
      </w:r>
    </w:p>
    <w:p w14:paraId="52F4FF55" w14:textId="77777777" w:rsidR="002D3B73" w:rsidRPr="002F5B85" w:rsidRDefault="002D3B73" w:rsidP="002F5B85">
      <w:pPr>
        <w:pStyle w:val="Heading2"/>
      </w:pPr>
      <w:r w:rsidRPr="002F5B85">
        <w:t xml:space="preserve">2.1. Procurement procedure </w:t>
      </w:r>
    </w:p>
    <w:p w14:paraId="06A4337F" w14:textId="2773C842" w:rsidR="002D3B73" w:rsidRDefault="002D3B73" w:rsidP="002F5B85">
      <w:r>
        <w:rPr>
          <w:lang w:val="en-GB" w:bidi="en-GB"/>
        </w:rPr>
        <w:br/>
        <w:t xml:space="preserve">The procurement is carried out through an open procedure, in accordance with the Swedish Public Procurement Act (2016:1145), also known as LOU. The procedure does not allow negotiation. Therefore, it is of great importance that the best possible terms and conditions are submitted in the tender. </w:t>
      </w:r>
    </w:p>
    <w:p w14:paraId="41F8974A" w14:textId="77777777" w:rsidR="002D3B73" w:rsidRPr="00AE295A" w:rsidRDefault="002D3B73" w:rsidP="00AE295A">
      <w:pPr>
        <w:pStyle w:val="Heading2"/>
      </w:pPr>
      <w:r w:rsidRPr="00AE295A">
        <w:t>2.2. Prerequisites for tender submission</w:t>
      </w:r>
    </w:p>
    <w:p w14:paraId="427CE39D" w14:textId="77777777" w:rsidR="00AE295A" w:rsidRPr="00D7000F" w:rsidRDefault="002D3B73" w:rsidP="00D7000F">
      <w:pPr>
        <w:pStyle w:val="Heading3"/>
      </w:pPr>
      <w:r w:rsidRPr="00D7000F">
        <w:rPr>
          <w:rStyle w:val="Heading3Char"/>
          <w:b/>
        </w:rPr>
        <w:t>2.2.1. Submission of the tender</w:t>
      </w:r>
    </w:p>
    <w:p w14:paraId="7945C00D" w14:textId="437040BE" w:rsidR="004F0ED4" w:rsidRDefault="00523521" w:rsidP="00AE295A">
      <w:pPr>
        <w:rPr>
          <w:lang w:val="en-GB" w:bidi="en-GB"/>
        </w:rPr>
      </w:pPr>
      <w:r w:rsidRPr="00523521">
        <w:rPr>
          <w:lang w:val="en-GB" w:bidi="en-GB"/>
        </w:rPr>
        <w:t xml:space="preserve">The tender and all associated documents shall be delivered to the </w:t>
      </w:r>
      <w:r w:rsidR="004F0ED4">
        <w:rPr>
          <w:lang w:val="en-GB" w:bidi="en-GB"/>
        </w:rPr>
        <w:t xml:space="preserve">following address: </w:t>
      </w:r>
    </w:p>
    <w:p w14:paraId="51C760D6" w14:textId="240AB997" w:rsidR="004F0ED4" w:rsidRDefault="00523521" w:rsidP="00AE295A">
      <w:pPr>
        <w:rPr>
          <w:b/>
          <w:bCs/>
          <w:lang w:val="en-GB" w:bidi="en-GB"/>
        </w:rPr>
      </w:pPr>
      <w:r w:rsidRPr="004F0ED4">
        <w:rPr>
          <w:b/>
          <w:bCs/>
          <w:lang w:val="en-GB" w:bidi="en-GB"/>
        </w:rPr>
        <w:t xml:space="preserve">Embassy of </w:t>
      </w:r>
      <w:proofErr w:type="gramStart"/>
      <w:r w:rsidRPr="004F0ED4">
        <w:rPr>
          <w:b/>
          <w:bCs/>
          <w:lang w:val="en-GB" w:bidi="en-GB"/>
        </w:rPr>
        <w:t xml:space="preserve">Sweden, </w:t>
      </w:r>
      <w:r w:rsidR="004F0ED4">
        <w:rPr>
          <w:b/>
          <w:bCs/>
          <w:lang w:val="en-GB" w:bidi="en-GB"/>
        </w:rPr>
        <w:t xml:space="preserve">  </w:t>
      </w:r>
      <w:proofErr w:type="gramEnd"/>
      <w:r w:rsidR="004F0ED4">
        <w:rPr>
          <w:b/>
          <w:bCs/>
          <w:lang w:val="en-GB" w:bidi="en-GB"/>
        </w:rPr>
        <w:t xml:space="preserve">                                                                                                          </w:t>
      </w:r>
      <w:r w:rsidR="00C215CA" w:rsidRPr="004F0ED4">
        <w:rPr>
          <w:rFonts w:ascii="Times New Roman" w:hAnsi="Times New Roman" w:cs="Times New Roman"/>
          <w:b/>
          <w:bCs/>
          <w:szCs w:val="24"/>
        </w:rPr>
        <w:t>1166 Park Street, Hatfield</w:t>
      </w:r>
      <w:r w:rsidRPr="004F0ED4">
        <w:rPr>
          <w:b/>
          <w:bCs/>
          <w:lang w:val="en-GB" w:bidi="en-GB"/>
        </w:rPr>
        <w:t>,</w:t>
      </w:r>
      <w:r w:rsidR="00C215CA" w:rsidRPr="004F0ED4">
        <w:rPr>
          <w:b/>
          <w:bCs/>
          <w:lang w:val="en-GB" w:bidi="en-GB"/>
        </w:rPr>
        <w:t xml:space="preserve"> Pretoria, 0083, Republic of South Africa,</w:t>
      </w:r>
      <w:r w:rsidRPr="004F0ED4">
        <w:rPr>
          <w:b/>
          <w:bCs/>
          <w:lang w:val="en-GB" w:bidi="en-GB"/>
        </w:rPr>
        <w:t xml:space="preserve"> </w:t>
      </w:r>
    </w:p>
    <w:p w14:paraId="2AE1FAF0" w14:textId="6BF38CBE" w:rsidR="004F0ED4" w:rsidRPr="004F0ED4" w:rsidRDefault="00523521" w:rsidP="00AE295A">
      <w:pPr>
        <w:rPr>
          <w:b/>
          <w:bCs/>
          <w:lang w:val="en-GB" w:bidi="en-GB"/>
        </w:rPr>
      </w:pPr>
      <w:r w:rsidRPr="004F0ED4">
        <w:rPr>
          <w:b/>
          <w:bCs/>
          <w:lang w:val="en-GB" w:bidi="en-GB"/>
        </w:rPr>
        <w:t xml:space="preserve">no later than </w:t>
      </w:r>
      <w:r w:rsidR="008B47EC">
        <w:rPr>
          <w:b/>
          <w:bCs/>
          <w:lang w:val="en-GB" w:bidi="en-GB"/>
        </w:rPr>
        <w:t>1</w:t>
      </w:r>
      <w:r w:rsidR="008B47EC" w:rsidRPr="008B47EC">
        <w:rPr>
          <w:b/>
          <w:bCs/>
          <w:vertAlign w:val="superscript"/>
          <w:lang w:val="en-GB" w:bidi="en-GB"/>
        </w:rPr>
        <w:t>st</w:t>
      </w:r>
      <w:r w:rsidR="00954C5E" w:rsidRPr="004F0ED4">
        <w:rPr>
          <w:b/>
          <w:bCs/>
          <w:lang w:val="en-GB" w:bidi="en-GB"/>
        </w:rPr>
        <w:t xml:space="preserve"> of</w:t>
      </w:r>
      <w:r w:rsidRPr="004F0ED4">
        <w:rPr>
          <w:b/>
          <w:bCs/>
          <w:lang w:val="en-GB" w:bidi="en-GB"/>
        </w:rPr>
        <w:t xml:space="preserve"> </w:t>
      </w:r>
      <w:r w:rsidR="008B47EC">
        <w:rPr>
          <w:b/>
          <w:bCs/>
          <w:lang w:val="en-GB" w:bidi="en-GB"/>
        </w:rPr>
        <w:t>Mars</w:t>
      </w:r>
      <w:r w:rsidRPr="004F0ED4">
        <w:rPr>
          <w:b/>
          <w:bCs/>
          <w:lang w:val="en-GB" w:bidi="en-GB"/>
        </w:rPr>
        <w:t xml:space="preserve"> 202</w:t>
      </w:r>
      <w:r w:rsidR="004F0ED4">
        <w:rPr>
          <w:b/>
          <w:bCs/>
          <w:lang w:val="en-GB" w:bidi="en-GB"/>
        </w:rPr>
        <w:t>4</w:t>
      </w:r>
      <w:r w:rsidRPr="004F0ED4">
        <w:rPr>
          <w:b/>
          <w:bCs/>
          <w:lang w:val="en-GB" w:bidi="en-GB"/>
        </w:rPr>
        <w:t xml:space="preserve"> at 1</w:t>
      </w:r>
      <w:r w:rsidR="008B47EC">
        <w:rPr>
          <w:b/>
          <w:bCs/>
          <w:lang w:val="en-GB" w:bidi="en-GB"/>
        </w:rPr>
        <w:t>3.00</w:t>
      </w:r>
      <w:r w:rsidRPr="004F0ED4">
        <w:rPr>
          <w:b/>
          <w:bCs/>
          <w:lang w:val="en-GB" w:bidi="en-GB"/>
        </w:rPr>
        <w:t xml:space="preserve"> hours. </w:t>
      </w:r>
    </w:p>
    <w:p w14:paraId="1D21DFE9" w14:textId="44707FC1" w:rsidR="00523521" w:rsidRPr="008839CE" w:rsidRDefault="00523521" w:rsidP="00AE295A">
      <w:pPr>
        <w:rPr>
          <w:rFonts w:ascii="Calibri" w:hAnsi="Calibri"/>
          <w:b/>
          <w:bCs/>
          <w:color w:val="FF0000"/>
          <w:sz w:val="22"/>
        </w:rPr>
      </w:pPr>
      <w:r w:rsidRPr="00523521">
        <w:rPr>
          <w:lang w:val="en-GB" w:bidi="en-GB"/>
        </w:rPr>
        <w:t xml:space="preserve">The tender must include physical copies of all tender documents. Applicants should also submit an electronic copy on a USB-stick. Mark the tender with </w:t>
      </w:r>
      <w:r w:rsidR="008839CE" w:rsidRPr="004F0ED4">
        <w:rPr>
          <w:b/>
          <w:bCs/>
        </w:rPr>
        <w:t>UM2023/02835/PRET</w:t>
      </w:r>
      <w:r w:rsidRPr="004F0ED4">
        <w:rPr>
          <w:lang w:val="en-GB" w:bidi="en-GB"/>
        </w:rPr>
        <w:t xml:space="preserve"> </w:t>
      </w:r>
      <w:r w:rsidRPr="00523521">
        <w:rPr>
          <w:lang w:val="en-GB" w:bidi="en-GB"/>
        </w:rPr>
        <w:t>and clearly indicate a contact person, address, phone number and e-mail for any potential communication.</w:t>
      </w:r>
    </w:p>
    <w:p w14:paraId="7ED93638" w14:textId="77777777" w:rsidR="002D3B73" w:rsidRDefault="002D3B73" w:rsidP="00AE295A">
      <w:r>
        <w:rPr>
          <w:lang w:val="en-GB" w:bidi="en-GB"/>
        </w:rPr>
        <w:t>The tenderer is not entitled to claim compensation for work or other costs associated with participating in the procurement.</w:t>
      </w:r>
    </w:p>
    <w:p w14:paraId="44942D30" w14:textId="22A02ECB" w:rsidR="00AE295A" w:rsidRPr="00D7000F" w:rsidRDefault="002D3B73" w:rsidP="00D7000F">
      <w:pPr>
        <w:pStyle w:val="Heading3"/>
        <w:rPr>
          <w:rStyle w:val="Heading3Char"/>
          <w:b/>
        </w:rPr>
      </w:pPr>
      <w:r w:rsidRPr="00D7000F">
        <w:rPr>
          <w:rStyle w:val="Heading3Char"/>
          <w:b/>
        </w:rPr>
        <w:t>2.2.2.</w:t>
      </w:r>
      <w:r w:rsidR="00023029" w:rsidRPr="00D7000F">
        <w:rPr>
          <w:rStyle w:val="Heading3Char"/>
          <w:b/>
        </w:rPr>
        <w:t xml:space="preserve"> </w:t>
      </w:r>
      <w:r w:rsidRPr="00D7000F">
        <w:rPr>
          <w:rStyle w:val="Heading3Char"/>
          <w:b/>
        </w:rPr>
        <w:t>The form of the tender</w:t>
      </w:r>
    </w:p>
    <w:p w14:paraId="6E01F5A8" w14:textId="5EC4F266" w:rsidR="002D3B73" w:rsidRDefault="002D3B73" w:rsidP="00023029">
      <w:r>
        <w:rPr>
          <w:lang w:val="en-GB" w:bidi="en-GB"/>
        </w:rPr>
        <w:t>All electronic documents in the tender shall be saved in a commonly used format, such as .doc, .docx, .</w:t>
      </w:r>
      <w:proofErr w:type="spellStart"/>
      <w:r>
        <w:rPr>
          <w:lang w:val="en-GB" w:bidi="en-GB"/>
        </w:rPr>
        <w:t>xls</w:t>
      </w:r>
      <w:proofErr w:type="spellEnd"/>
      <w:r>
        <w:rPr>
          <w:lang w:val="en-GB" w:bidi="en-GB"/>
        </w:rPr>
        <w:t>, .xlsx, .ppt, .pptx, .pdf, .txt, .jpg and .</w:t>
      </w:r>
      <w:proofErr w:type="spellStart"/>
      <w:r>
        <w:rPr>
          <w:lang w:val="en-GB" w:bidi="en-GB"/>
        </w:rPr>
        <w:t>tif</w:t>
      </w:r>
      <w:proofErr w:type="spellEnd"/>
      <w:r>
        <w:rPr>
          <w:lang w:val="en-GB" w:bidi="en-GB"/>
        </w:rPr>
        <w:t>. Use the file format .zip if it is necessary to send the documents in a compressed form.</w:t>
      </w:r>
    </w:p>
    <w:p w14:paraId="5C3A1CD9" w14:textId="4F922955" w:rsidR="002D3B73" w:rsidRDefault="002D3B73" w:rsidP="00023029">
      <w:pPr>
        <w:rPr>
          <w:sz w:val="22"/>
        </w:rPr>
      </w:pPr>
      <w:r>
        <w:rPr>
          <w:sz w:val="22"/>
          <w:lang w:val="en-GB" w:bidi="en-GB"/>
        </w:rPr>
        <w:t xml:space="preserve">References to information in the form of links to web pages and unsolicited attachments will not be considered to constitute part of the </w:t>
      </w:r>
      <w:r w:rsidR="009A29D8">
        <w:rPr>
          <w:sz w:val="22"/>
          <w:lang w:val="en-GB" w:bidi="en-GB"/>
        </w:rPr>
        <w:t>tender and</w:t>
      </w:r>
      <w:r>
        <w:rPr>
          <w:sz w:val="22"/>
          <w:lang w:val="en-GB" w:bidi="en-GB"/>
        </w:rPr>
        <w:t xml:space="preserve"> will not be taken into account in the review and evaluation of the tender.</w:t>
      </w:r>
    </w:p>
    <w:p w14:paraId="6E9C0F38" w14:textId="77777777" w:rsidR="002D3B73" w:rsidRDefault="002D3B73" w:rsidP="00023029">
      <w:r>
        <w:rPr>
          <w:lang w:val="en-GB" w:bidi="en-GB"/>
        </w:rPr>
        <w:t xml:space="preserve">In order to facilitate examination and evaluation of the tender, it is the Embassy’s strong desire that the submitted tender be formatted in accordance with the procurement document’s headings/disposition, that any templates belonging to the procurement document be used and filled in, and that references to any attachments be presented in a clear manner. </w:t>
      </w:r>
    </w:p>
    <w:p w14:paraId="0639345C" w14:textId="77777777" w:rsidR="00023029" w:rsidRPr="00D7000F" w:rsidRDefault="002D3B73" w:rsidP="00D7000F">
      <w:pPr>
        <w:pStyle w:val="Heading3"/>
        <w:rPr>
          <w:rStyle w:val="Heading3Char"/>
          <w:b/>
        </w:rPr>
      </w:pPr>
      <w:r w:rsidRPr="00D7000F">
        <w:rPr>
          <w:rStyle w:val="Heading3Char"/>
          <w:b/>
        </w:rPr>
        <w:t>2.2.3. The language of the tender</w:t>
      </w:r>
    </w:p>
    <w:p w14:paraId="7400BD9E" w14:textId="0F7E0D71" w:rsidR="002D3B73" w:rsidRDefault="002D3B73" w:rsidP="00023029">
      <w:r>
        <w:rPr>
          <w:lang w:val="en-GB" w:bidi="en-GB"/>
        </w:rPr>
        <w:t xml:space="preserve">The tender shall be written in </w:t>
      </w:r>
      <w:r w:rsidRPr="00B645B6">
        <w:rPr>
          <w:lang w:val="en-GB" w:bidi="en-GB"/>
        </w:rPr>
        <w:t>[English].</w:t>
      </w:r>
      <w:r>
        <w:rPr>
          <w:lang w:val="en-GB" w:bidi="en-GB"/>
        </w:rPr>
        <w:t xml:space="preserve"> </w:t>
      </w:r>
    </w:p>
    <w:p w14:paraId="741FB4F0" w14:textId="1B2CA565" w:rsidR="002D3B73" w:rsidRPr="00023029" w:rsidRDefault="002D3B73" w:rsidP="002D3B73">
      <w:pPr>
        <w:pStyle w:val="ListParagraph"/>
        <w:numPr>
          <w:ilvl w:val="0"/>
          <w:numId w:val="1"/>
        </w:numPr>
        <w:autoSpaceDE w:val="0"/>
        <w:autoSpaceDN w:val="0"/>
        <w:adjustRightInd w:val="0"/>
        <w:rPr>
          <w:rFonts w:asciiTheme="minorHAnsi" w:hAnsiTheme="minorHAnsi" w:cs="Calibri"/>
          <w:color w:val="000000"/>
        </w:rPr>
      </w:pPr>
      <w:r w:rsidRPr="00023029">
        <w:rPr>
          <w:rFonts w:asciiTheme="minorHAnsi" w:eastAsia="Calibri" w:hAnsiTheme="minorHAnsi" w:cs="Calibri"/>
          <w:color w:val="000000"/>
          <w:lang w:val="en-GB" w:bidi="en-GB"/>
        </w:rPr>
        <w:t>Curriculum Vitae (CV)</w:t>
      </w:r>
    </w:p>
    <w:p w14:paraId="7F6D4069" w14:textId="543FB635" w:rsidR="002D3B73" w:rsidRPr="00023029" w:rsidRDefault="006751C1" w:rsidP="002D3B73">
      <w:pPr>
        <w:pStyle w:val="ListParagraph"/>
        <w:numPr>
          <w:ilvl w:val="0"/>
          <w:numId w:val="1"/>
        </w:numPr>
        <w:autoSpaceDE w:val="0"/>
        <w:autoSpaceDN w:val="0"/>
        <w:adjustRightInd w:val="0"/>
        <w:rPr>
          <w:rFonts w:asciiTheme="minorHAnsi" w:hAnsiTheme="minorHAnsi" w:cs="Calibri"/>
          <w:color w:val="000000"/>
        </w:rPr>
      </w:pPr>
      <w:r>
        <w:rPr>
          <w:rFonts w:asciiTheme="minorHAnsi" w:eastAsia="Calibri" w:hAnsiTheme="minorHAnsi" w:cs="Calibri"/>
          <w:color w:val="000000"/>
          <w:lang w:val="en-GB" w:bidi="en-GB"/>
        </w:rPr>
        <w:t>C</w:t>
      </w:r>
      <w:r w:rsidR="002D3B73" w:rsidRPr="00023029">
        <w:rPr>
          <w:rFonts w:asciiTheme="minorHAnsi" w:eastAsia="Calibri" w:hAnsiTheme="minorHAnsi" w:cs="Calibri"/>
          <w:color w:val="000000"/>
          <w:lang w:val="en-GB" w:bidi="en-GB"/>
        </w:rPr>
        <w:t>ertificates issued by a party other than the tenderer</w:t>
      </w:r>
    </w:p>
    <w:p w14:paraId="2FC419B3" w14:textId="71B56A0E" w:rsidR="002D3B73" w:rsidRPr="00023029" w:rsidRDefault="002D3B73" w:rsidP="002D3B73">
      <w:pPr>
        <w:autoSpaceDE w:val="0"/>
        <w:autoSpaceDN w:val="0"/>
        <w:adjustRightInd w:val="0"/>
        <w:rPr>
          <w:rFonts w:asciiTheme="minorHAnsi" w:hAnsiTheme="minorHAnsi" w:cs="Calibri"/>
          <w:color w:val="000000"/>
        </w:rPr>
      </w:pPr>
      <w:r w:rsidRPr="00023029">
        <w:rPr>
          <w:rFonts w:asciiTheme="minorHAnsi" w:eastAsia="Calibri" w:hAnsiTheme="minorHAnsi" w:cs="Calibri"/>
          <w:color w:val="000000"/>
          <w:lang w:val="en-GB" w:bidi="en-GB"/>
        </w:rPr>
        <w:t xml:space="preserve">If the </w:t>
      </w:r>
      <w:r w:rsidR="00750CAD" w:rsidRPr="00023029">
        <w:rPr>
          <w:rFonts w:asciiTheme="minorHAnsi" w:eastAsia="Calibri" w:hAnsiTheme="minorHAnsi" w:cs="Calibri"/>
          <w:color w:val="000000"/>
          <w:lang w:val="en-GB" w:bidi="en-GB"/>
        </w:rPr>
        <w:t>above-mentioned</w:t>
      </w:r>
      <w:r w:rsidRPr="00023029">
        <w:rPr>
          <w:rFonts w:asciiTheme="minorHAnsi" w:eastAsia="Calibri" w:hAnsiTheme="minorHAnsi" w:cs="Calibri"/>
          <w:color w:val="000000"/>
          <w:lang w:val="en-GB" w:bidi="en-GB"/>
        </w:rPr>
        <w:t xml:space="preserve"> documents exist only in languages other than the </w:t>
      </w:r>
      <w:proofErr w:type="gramStart"/>
      <w:r w:rsidRPr="00023029">
        <w:rPr>
          <w:rFonts w:asciiTheme="minorHAnsi" w:eastAsia="Calibri" w:hAnsiTheme="minorHAnsi" w:cs="Calibri"/>
          <w:color w:val="000000"/>
          <w:lang w:val="en-GB" w:bidi="en-GB"/>
        </w:rPr>
        <w:t>above mentioned</w:t>
      </w:r>
      <w:proofErr w:type="gramEnd"/>
      <w:r w:rsidRPr="00023029">
        <w:rPr>
          <w:rFonts w:asciiTheme="minorHAnsi" w:eastAsia="Calibri" w:hAnsiTheme="minorHAnsi" w:cs="Calibri"/>
          <w:color w:val="000000"/>
          <w:lang w:val="en-GB" w:bidi="en-GB"/>
        </w:rPr>
        <w:t xml:space="preserve"> language [</w:t>
      </w:r>
      <w:r w:rsidR="00BB045A">
        <w:rPr>
          <w:rFonts w:asciiTheme="minorHAnsi" w:eastAsia="Calibri" w:hAnsiTheme="minorHAnsi" w:cs="Calibri"/>
          <w:color w:val="000000"/>
          <w:lang w:val="en-GB" w:bidi="en-GB"/>
        </w:rPr>
        <w:t>French</w:t>
      </w:r>
      <w:r w:rsidRPr="00023029">
        <w:rPr>
          <w:rFonts w:asciiTheme="minorHAnsi" w:eastAsia="Calibri" w:hAnsiTheme="minorHAnsi" w:cs="Calibri"/>
          <w:color w:val="000000"/>
          <w:lang w:val="en-GB" w:bidi="en-GB"/>
        </w:rPr>
        <w:t>], then in addition to the document in the original language, a translation into [English] shall also be attached.</w:t>
      </w:r>
    </w:p>
    <w:p w14:paraId="4EA77F89" w14:textId="77777777" w:rsidR="00023029" w:rsidRPr="00D7000F" w:rsidRDefault="002D3B73" w:rsidP="00D7000F">
      <w:pPr>
        <w:pStyle w:val="Heading3"/>
        <w:rPr>
          <w:rStyle w:val="Heading3Char"/>
          <w:b/>
        </w:rPr>
      </w:pPr>
      <w:r w:rsidRPr="00D7000F">
        <w:rPr>
          <w:rStyle w:val="Heading3Char"/>
          <w:b/>
        </w:rPr>
        <w:t>2.2.4. Tender submission deadline</w:t>
      </w:r>
    </w:p>
    <w:p w14:paraId="111AA552" w14:textId="77E34C87" w:rsidR="002D3B73" w:rsidRPr="00D7000F" w:rsidRDefault="002D3B73" w:rsidP="00D7000F">
      <w:r>
        <w:rPr>
          <w:lang w:val="en-GB" w:bidi="en-GB"/>
        </w:rPr>
        <w:t xml:space="preserve">The deadline to submit a tender is </w:t>
      </w:r>
      <w:r w:rsidR="00110B92">
        <w:rPr>
          <w:lang w:val="en-GB" w:bidi="en-GB"/>
        </w:rPr>
        <w:t>01</w:t>
      </w:r>
      <w:r>
        <w:rPr>
          <w:lang w:val="en-GB" w:bidi="en-GB"/>
        </w:rPr>
        <w:t>-</w:t>
      </w:r>
      <w:r w:rsidR="00116153">
        <w:rPr>
          <w:lang w:val="en-GB" w:bidi="en-GB"/>
        </w:rPr>
        <w:t>0</w:t>
      </w:r>
      <w:r w:rsidR="00110B92">
        <w:rPr>
          <w:lang w:val="en-GB" w:bidi="en-GB"/>
        </w:rPr>
        <w:t>3</w:t>
      </w:r>
      <w:r>
        <w:rPr>
          <w:lang w:val="en-GB" w:bidi="en-GB"/>
        </w:rPr>
        <w:t>-20</w:t>
      </w:r>
      <w:r w:rsidR="00BB045A">
        <w:rPr>
          <w:lang w:val="en-GB" w:bidi="en-GB"/>
        </w:rPr>
        <w:t>2</w:t>
      </w:r>
      <w:r w:rsidR="00116153">
        <w:rPr>
          <w:lang w:val="en-GB" w:bidi="en-GB"/>
        </w:rPr>
        <w:t>4</w:t>
      </w:r>
      <w:r>
        <w:rPr>
          <w:lang w:val="en-GB" w:bidi="en-GB"/>
        </w:rPr>
        <w:t>.</w:t>
      </w:r>
    </w:p>
    <w:p w14:paraId="5418C4AE" w14:textId="77777777" w:rsidR="00023029" w:rsidRPr="00D7000F" w:rsidRDefault="002D3B73" w:rsidP="00D7000F">
      <w:pPr>
        <w:pStyle w:val="Heading3"/>
        <w:rPr>
          <w:rStyle w:val="Heading3Char"/>
          <w:b/>
        </w:rPr>
      </w:pPr>
      <w:r w:rsidRPr="00D7000F">
        <w:rPr>
          <w:rStyle w:val="Heading3Char"/>
          <w:b/>
        </w:rPr>
        <w:lastRenderedPageBreak/>
        <w:t>2.2.5. Period of validity of the tender</w:t>
      </w:r>
    </w:p>
    <w:p w14:paraId="60CE11D6" w14:textId="6076E43E" w:rsidR="002D3B73" w:rsidRDefault="002D3B73" w:rsidP="00D17117">
      <w:pPr>
        <w:rPr>
          <w:color w:val="FF0000"/>
          <w:lang w:val="en-GB" w:bidi="en-GB"/>
        </w:rPr>
      </w:pPr>
      <w:r>
        <w:rPr>
          <w:lang w:val="en-GB" w:bidi="en-GB"/>
        </w:rPr>
        <w:t xml:space="preserve">The tender shall be valid until </w:t>
      </w:r>
      <w:r w:rsidR="008B47EC">
        <w:rPr>
          <w:lang w:val="en-GB" w:bidi="en-GB"/>
        </w:rPr>
        <w:t>01</w:t>
      </w:r>
      <w:r>
        <w:rPr>
          <w:lang w:val="en-GB" w:bidi="en-GB"/>
        </w:rPr>
        <w:t>-</w:t>
      </w:r>
      <w:r w:rsidR="0019696D">
        <w:rPr>
          <w:lang w:val="en-GB" w:bidi="en-GB"/>
        </w:rPr>
        <w:t>1</w:t>
      </w:r>
      <w:r w:rsidR="008B47EC">
        <w:rPr>
          <w:lang w:val="en-GB" w:bidi="en-GB"/>
        </w:rPr>
        <w:t>2</w:t>
      </w:r>
      <w:r>
        <w:rPr>
          <w:lang w:val="en-GB" w:bidi="en-GB"/>
        </w:rPr>
        <w:t>-20</w:t>
      </w:r>
      <w:r w:rsidR="00BB045A">
        <w:rPr>
          <w:lang w:val="en-GB" w:bidi="en-GB"/>
        </w:rPr>
        <w:t>24</w:t>
      </w:r>
      <w:r>
        <w:rPr>
          <w:lang w:val="en-GB" w:bidi="en-GB"/>
        </w:rPr>
        <w:t>.</w:t>
      </w:r>
    </w:p>
    <w:p w14:paraId="7273814B" w14:textId="77777777" w:rsidR="00D17117" w:rsidRPr="00D7000F" w:rsidRDefault="002D3B73" w:rsidP="00D7000F">
      <w:pPr>
        <w:pStyle w:val="Heading3"/>
        <w:rPr>
          <w:rStyle w:val="Heading3Char"/>
          <w:b/>
        </w:rPr>
      </w:pPr>
      <w:r w:rsidRPr="00D7000F">
        <w:rPr>
          <w:rStyle w:val="Heading3Char"/>
          <w:b/>
        </w:rPr>
        <w:t>2.2.6. Variant tenders or alternative tenders</w:t>
      </w:r>
    </w:p>
    <w:p w14:paraId="5C8F17AE" w14:textId="30BA3441" w:rsidR="002D3B73" w:rsidRDefault="002D3B73" w:rsidP="00D17117">
      <w:pPr>
        <w:rPr>
          <w:b/>
        </w:rPr>
      </w:pPr>
      <w:r>
        <w:rPr>
          <w:lang w:val="en-GB" w:bidi="en-GB"/>
        </w:rPr>
        <w:t>Variant tenders or alternative tenders are not permitted. If the tenderer submits provisions or reservations pertaining to the conditions in the procurement document, the tender may be rejected. The tenderer is therefore asked to avoid providing information and attachments that have not been requested.</w:t>
      </w:r>
    </w:p>
    <w:p w14:paraId="788C5F59" w14:textId="77777777" w:rsidR="002D3B73" w:rsidRPr="00D17117" w:rsidRDefault="002D3B73" w:rsidP="00D17117">
      <w:pPr>
        <w:pStyle w:val="Heading2"/>
      </w:pPr>
      <w:r w:rsidRPr="00D17117">
        <w:t xml:space="preserve">2.3. Clarification, additions, or questions on the procurement document </w:t>
      </w:r>
    </w:p>
    <w:p w14:paraId="49A41AC9" w14:textId="5803F066" w:rsidR="002D3B73" w:rsidRPr="00BB045A" w:rsidRDefault="000D2FD5" w:rsidP="00D17117">
      <w:pPr>
        <w:rPr>
          <w:color w:val="FF0000"/>
          <w:sz w:val="18"/>
          <w:szCs w:val="16"/>
        </w:rPr>
      </w:pPr>
      <w:r>
        <w:t>Questions, r</w:t>
      </w:r>
      <w:r w:rsidRPr="0019132D">
        <w:t xml:space="preserve">equests </w:t>
      </w:r>
      <w:r w:rsidR="002D3B73" w:rsidRPr="0019132D">
        <w:t xml:space="preserve">for clarification or additions to the procurement document shall be submitted in writing via </w:t>
      </w:r>
      <w:r w:rsidR="00DC69F3">
        <w:rPr>
          <w:color w:val="0070C0"/>
        </w:rPr>
        <w:t>ambassaden</w:t>
      </w:r>
      <w:r w:rsidR="00882F0D">
        <w:rPr>
          <w:color w:val="0070C0"/>
        </w:rPr>
        <w:t>.pretoria</w:t>
      </w:r>
      <w:r w:rsidR="00125D3D">
        <w:rPr>
          <w:color w:val="0070C0"/>
        </w:rPr>
        <w:t>-sida</w:t>
      </w:r>
      <w:r w:rsidR="00EC2168">
        <w:rPr>
          <w:color w:val="0070C0"/>
        </w:rPr>
        <w:t>@gov.se</w:t>
      </w:r>
      <w:r w:rsidR="002D3B73" w:rsidRPr="00BB045A">
        <w:rPr>
          <w:color w:val="0070C0"/>
        </w:rPr>
        <w:t xml:space="preserve"> </w:t>
      </w:r>
      <w:r w:rsidR="002D3B73" w:rsidRPr="0019132D">
        <w:t xml:space="preserve">and marked with </w:t>
      </w:r>
      <w:r w:rsidR="00BB045A" w:rsidRPr="004F0ED4">
        <w:rPr>
          <w:sz w:val="18"/>
          <w:szCs w:val="16"/>
        </w:rPr>
        <w:t>UM2023/02835/PRET</w:t>
      </w:r>
      <w:r w:rsidR="002D3B73" w:rsidRPr="004F0ED4">
        <w:t xml:space="preserve">. </w:t>
      </w:r>
      <w:r w:rsidR="002D3B73" w:rsidRPr="0019132D">
        <w:t xml:space="preserve">The deadline for submitting questions is: </w:t>
      </w:r>
      <w:r w:rsidR="00C14298">
        <w:rPr>
          <w:lang w:val="en-GB" w:bidi="en-GB"/>
        </w:rPr>
        <w:t>15</w:t>
      </w:r>
      <w:r w:rsidR="002D3B73">
        <w:rPr>
          <w:lang w:val="en-GB" w:bidi="en-GB"/>
        </w:rPr>
        <w:t>-</w:t>
      </w:r>
      <w:r w:rsidR="00116153">
        <w:rPr>
          <w:lang w:val="en-GB" w:bidi="en-GB"/>
        </w:rPr>
        <w:t>0</w:t>
      </w:r>
      <w:r w:rsidR="00C14298">
        <w:rPr>
          <w:lang w:val="en-GB" w:bidi="en-GB"/>
        </w:rPr>
        <w:t>2</w:t>
      </w:r>
      <w:r w:rsidR="002D3B73">
        <w:rPr>
          <w:lang w:val="en-GB" w:bidi="en-GB"/>
        </w:rPr>
        <w:t>-20</w:t>
      </w:r>
      <w:r w:rsidR="00BB045A">
        <w:rPr>
          <w:lang w:val="en-GB" w:bidi="en-GB"/>
        </w:rPr>
        <w:t>2</w:t>
      </w:r>
      <w:r w:rsidR="00116153">
        <w:rPr>
          <w:lang w:val="en-GB" w:bidi="en-GB"/>
        </w:rPr>
        <w:t>4</w:t>
      </w:r>
      <w:r w:rsidR="002D3B73">
        <w:rPr>
          <w:lang w:val="en-GB" w:bidi="en-GB"/>
        </w:rPr>
        <w:t>.</w:t>
      </w:r>
      <w:r w:rsidR="002D3B73">
        <w:t xml:space="preserve"> </w:t>
      </w:r>
    </w:p>
    <w:p w14:paraId="3E61C4AE" w14:textId="6D8AE257" w:rsidR="000D2FD5" w:rsidRDefault="002D3B73" w:rsidP="00D17117">
      <w:pPr>
        <w:rPr>
          <w:lang w:val="en-GB" w:bidi="en-GB"/>
        </w:rPr>
      </w:pPr>
      <w:r w:rsidRPr="00AA3793">
        <w:rPr>
          <w:lang w:val="en-GB" w:bidi="en-GB"/>
        </w:rPr>
        <w:t>Response</w:t>
      </w:r>
      <w:r>
        <w:rPr>
          <w:lang w:val="en-GB" w:bidi="en-GB"/>
        </w:rPr>
        <w:t>s</w:t>
      </w:r>
      <w:r w:rsidRPr="00AA3793">
        <w:rPr>
          <w:lang w:val="en-GB" w:bidi="en-GB"/>
        </w:rPr>
        <w:t xml:space="preserve"> to questions will </w:t>
      </w:r>
      <w:r>
        <w:rPr>
          <w:lang w:val="en-GB" w:bidi="en-GB"/>
        </w:rPr>
        <w:t xml:space="preserve">be posted on the </w:t>
      </w:r>
      <w:r w:rsidRPr="00AA3793">
        <w:rPr>
          <w:lang w:val="en-GB" w:bidi="en-GB"/>
        </w:rPr>
        <w:t>Embassy</w:t>
      </w:r>
      <w:r>
        <w:rPr>
          <w:lang w:val="en-GB" w:bidi="en-GB"/>
        </w:rPr>
        <w:t>’s website</w:t>
      </w:r>
      <w:r w:rsidRPr="00AA3793">
        <w:rPr>
          <w:lang w:val="en-GB" w:bidi="en-GB"/>
        </w:rPr>
        <w:t xml:space="preserve"> at: </w:t>
      </w:r>
      <w:r w:rsidR="00EC2168">
        <w:rPr>
          <w:color w:val="0070C0"/>
          <w:lang w:val="en-GB" w:bidi="en-GB"/>
        </w:rPr>
        <w:t>www.swedenabroad.se/pretoria</w:t>
      </w:r>
    </w:p>
    <w:p w14:paraId="083A08C8" w14:textId="77777777" w:rsidR="000D2FD5" w:rsidRDefault="000D2FD5" w:rsidP="00D17117">
      <w:pPr>
        <w:rPr>
          <w:lang w:val="en-GB" w:bidi="en-GB"/>
        </w:rPr>
      </w:pPr>
      <w:r w:rsidRPr="000D2FD5">
        <w:rPr>
          <w:lang w:val="en-GB" w:bidi="en-GB"/>
        </w:rPr>
        <w:t>Answers to questions will be published no later than six (6) days before tender submission deadline.</w:t>
      </w:r>
      <w:r>
        <w:rPr>
          <w:lang w:val="en-GB" w:bidi="en-GB"/>
        </w:rPr>
        <w:t xml:space="preserve"> </w:t>
      </w:r>
    </w:p>
    <w:p w14:paraId="3981CD25" w14:textId="6A16D018" w:rsidR="002D3B73" w:rsidRDefault="002D3B73" w:rsidP="00D17117">
      <w:pPr>
        <w:rPr>
          <w:lang w:val="en-GB" w:bidi="en-GB"/>
        </w:rPr>
      </w:pPr>
      <w:r>
        <w:rPr>
          <w:lang w:val="en-GB" w:bidi="en-GB"/>
        </w:rPr>
        <w:t>Published questions and answers, as well as any clarifications and additions submitted during the tender period, constitute part of the procurement document.</w:t>
      </w:r>
      <w:r w:rsidR="000D2FD5">
        <w:rPr>
          <w:lang w:val="en-GB" w:bidi="en-GB"/>
        </w:rPr>
        <w:t xml:space="preserve"> </w:t>
      </w:r>
      <w:r w:rsidR="000D2FD5" w:rsidRPr="000D2FD5">
        <w:rPr>
          <w:lang w:val="en-GB" w:bidi="en-GB"/>
        </w:rPr>
        <w:t>It is the tenderer's responsibility to keep up to date.</w:t>
      </w:r>
    </w:p>
    <w:p w14:paraId="33AAD5A5" w14:textId="799B51E9" w:rsidR="000D2FD5" w:rsidRDefault="000D2FD5" w:rsidP="000D2FD5">
      <w:pPr>
        <w:pStyle w:val="Heading2"/>
      </w:pPr>
      <w:r>
        <w:t xml:space="preserve">2.4. </w:t>
      </w:r>
      <w:r w:rsidRPr="000D2FD5">
        <w:t>Correction of errors, clarification and additional information of the tender</w:t>
      </w:r>
    </w:p>
    <w:p w14:paraId="2860DF3F" w14:textId="2DF68628" w:rsidR="000D2FD5" w:rsidRDefault="000D2FD5" w:rsidP="000D2FD5">
      <w:r>
        <w:t>The Embassy is under no obligation to request additions or clarifications by the tenderers. However, the authority may allow or request that a tenderer correct a typing error, miscalculation or any other error in a submitted document, or clarify or complement such an act, as long as it complies with the principles of equal treatment and transparency.</w:t>
      </w:r>
    </w:p>
    <w:p w14:paraId="56A25F44" w14:textId="55D99BD4" w:rsidR="000D2FD5" w:rsidRPr="000D2FD5" w:rsidRDefault="000D2FD5" w:rsidP="000D2FD5">
      <w:r>
        <w:t>It is therefore important that the tenderer ensure that all requested information and documents are provided in the tender.</w:t>
      </w:r>
    </w:p>
    <w:p w14:paraId="43A7E8EC" w14:textId="364160A7" w:rsidR="002D3B73" w:rsidRPr="00D17117" w:rsidRDefault="002D3B73" w:rsidP="001C1222">
      <w:pPr>
        <w:pStyle w:val="Heading2"/>
      </w:pPr>
      <w:r w:rsidRPr="00D17117">
        <w:t>2.</w:t>
      </w:r>
      <w:r w:rsidR="00B5663B">
        <w:t>5</w:t>
      </w:r>
      <w:r w:rsidRPr="00D17117">
        <w:t>. Notification of decision</w:t>
      </w:r>
    </w:p>
    <w:p w14:paraId="1B9F6F77" w14:textId="77777777" w:rsidR="002D3B73" w:rsidRDefault="002D3B73" w:rsidP="001C1222">
      <w:pPr>
        <w:keepNext/>
      </w:pPr>
      <w:r>
        <w:rPr>
          <w:lang w:val="en-GB" w:bidi="en-GB"/>
        </w:rPr>
        <w:t>Notification of award decisions will be sent out to the Tenderers contact person’s address stated its tender.</w:t>
      </w:r>
    </w:p>
    <w:p w14:paraId="4E83F7E1" w14:textId="297903B5" w:rsidR="002D3B73" w:rsidRDefault="002D3B73" w:rsidP="00D17117">
      <w:r>
        <w:rPr>
          <w:lang w:val="en-GB" w:bidi="en-GB"/>
        </w:rPr>
        <w:t>The reception of a notification regarding the award decision does not mean that a binding framework agreement has been signed between the Embassy and the winning tenderer. A framework agreement only becomes legally binding when it has been signed by both parties.</w:t>
      </w:r>
    </w:p>
    <w:p w14:paraId="37C94FCD" w14:textId="0B2A10C8" w:rsidR="002D3B73" w:rsidRDefault="00FF6C7C" w:rsidP="00D17117">
      <w:pPr>
        <w:rPr>
          <w:lang w:val="en-GB" w:bidi="en-GB"/>
        </w:rPr>
      </w:pPr>
      <w:r>
        <w:rPr>
          <w:lang w:val="en-GB" w:bidi="en-GB"/>
        </w:rPr>
        <w:t>F</w:t>
      </w:r>
      <w:r w:rsidR="002D3B73">
        <w:rPr>
          <w:lang w:val="en-GB" w:bidi="en-GB"/>
        </w:rPr>
        <w:t>ramework agreement will be signed no sooner than ten (10) days after the date on which the notification of the award decision is sent to the tenderers.</w:t>
      </w:r>
    </w:p>
    <w:p w14:paraId="2C212BE7" w14:textId="33BF272B" w:rsidR="000D4002" w:rsidRDefault="000D4002" w:rsidP="00D17117">
      <w:pPr>
        <w:rPr>
          <w:lang w:val="en-GB" w:bidi="en-GB"/>
        </w:rPr>
      </w:pPr>
      <w:r>
        <w:rPr>
          <w:lang w:val="en-GB" w:bidi="en-GB"/>
        </w:rPr>
        <w:t>The Embassy can cancel the procurement if there are objective reasons, such as lack of competition, unforeseen events or too high prices. If the procurement is cancel</w:t>
      </w:r>
      <w:r w:rsidR="00C0069F">
        <w:rPr>
          <w:lang w:val="en-GB" w:bidi="en-GB"/>
        </w:rPr>
        <w:t>l</w:t>
      </w:r>
      <w:r>
        <w:rPr>
          <w:lang w:val="en-GB" w:bidi="en-GB"/>
        </w:rPr>
        <w:t>ed a decision will be notified to all tenderers.</w:t>
      </w:r>
    </w:p>
    <w:p w14:paraId="4CAABA60" w14:textId="1570C03A" w:rsidR="002D3B73" w:rsidRPr="00D17117" w:rsidRDefault="002D3B73" w:rsidP="00D17117">
      <w:pPr>
        <w:pStyle w:val="Heading2"/>
      </w:pPr>
      <w:r w:rsidRPr="00D17117">
        <w:lastRenderedPageBreak/>
        <w:t>2.</w:t>
      </w:r>
      <w:r w:rsidR="00B5663B">
        <w:t>6</w:t>
      </w:r>
      <w:r w:rsidRPr="00D17117">
        <w:t>. Confidentiality</w:t>
      </w:r>
    </w:p>
    <w:p w14:paraId="4CBCD336" w14:textId="77777777" w:rsidR="002D3B73" w:rsidRDefault="002D3B73" w:rsidP="009400C6">
      <w:r>
        <w:rPr>
          <w:lang w:val="en-GB" w:bidi="en-GB"/>
        </w:rPr>
        <w:t>As soon as the award decision has been sent to all tenderers, all documents relating to the procurement, including tenders, become subject to the</w:t>
      </w:r>
      <w:r w:rsidRPr="004222B1">
        <w:rPr>
          <w:lang w:val="en-GB" w:bidi="en-GB"/>
        </w:rPr>
        <w:t xml:space="preserve"> principle of public access to official documents</w:t>
      </w:r>
      <w:r>
        <w:rPr>
          <w:lang w:val="en-GB" w:bidi="en-GB"/>
        </w:rPr>
        <w:t xml:space="preserve">. If a tenderer considers that it may suffer damages if information provided in the tender should become public, the tenderer shall submit a written request for confidentiality containing </w:t>
      </w:r>
      <w:r>
        <w:rPr>
          <w:b/>
          <w:lang w:val="en-GB" w:bidi="en-GB"/>
        </w:rPr>
        <w:t xml:space="preserve">a) </w:t>
      </w:r>
      <w:r>
        <w:rPr>
          <w:lang w:val="en-GB" w:bidi="en-GB"/>
        </w:rPr>
        <w:t xml:space="preserve">the information to which the request for confidentiality pertains and </w:t>
      </w:r>
      <w:r>
        <w:rPr>
          <w:b/>
          <w:lang w:val="en-GB" w:bidi="en-GB"/>
        </w:rPr>
        <w:t>b)</w:t>
      </w:r>
      <w:r>
        <w:rPr>
          <w:lang w:val="en-GB" w:bidi="en-GB"/>
        </w:rPr>
        <w:t xml:space="preserve"> what economic damages the tenderer would be suffered if the information should be disclosed.</w:t>
      </w:r>
    </w:p>
    <w:p w14:paraId="02FF8C66" w14:textId="77777777" w:rsidR="002D3B73" w:rsidRDefault="002D3B73" w:rsidP="009400C6">
      <w:r>
        <w:rPr>
          <w:lang w:val="en-GB" w:bidi="en-GB"/>
        </w:rPr>
        <w:t>Upon request for disclosure of tender documents, the Embassy will in each case review any request for confidentiality submitted by a tenderer. The Embassy’s assessment regarding confidentiality may be appealed to the administrative court.</w:t>
      </w:r>
      <w:r>
        <w:rPr>
          <w:rFonts w:ascii="Segoe UI" w:hAnsi="Segoe UI" w:cs="Segoe UI"/>
          <w:lang w:val="en-GB"/>
        </w:rPr>
        <w:t xml:space="preserve"> </w:t>
      </w:r>
      <w:r>
        <w:rPr>
          <w:lang w:val="en-GB" w:bidi="en-GB"/>
        </w:rPr>
        <w:t xml:space="preserve">The Embassy can therefore not guarantee that the information in the tender will not be revealed to the public. </w:t>
      </w:r>
    </w:p>
    <w:p w14:paraId="20B9C700" w14:textId="74AC4202" w:rsidR="002D3B73" w:rsidRPr="009400C6" w:rsidRDefault="002D3B73" w:rsidP="009400C6">
      <w:pPr>
        <w:pStyle w:val="Heading2"/>
      </w:pPr>
      <w:r w:rsidRPr="009400C6">
        <w:t>2.</w:t>
      </w:r>
      <w:r w:rsidR="00B5663B">
        <w:t>7</w:t>
      </w:r>
      <w:r w:rsidRPr="009400C6">
        <w:t>. Examination and evaluation</w:t>
      </w:r>
    </w:p>
    <w:p w14:paraId="333D50A7" w14:textId="77777777" w:rsidR="00954C5E" w:rsidRDefault="002D3B73" w:rsidP="009400C6">
      <w:pPr>
        <w:rPr>
          <w:lang w:val="en-GB" w:bidi="en-GB"/>
        </w:rPr>
      </w:pPr>
      <w:r>
        <w:rPr>
          <w:lang w:val="en-GB" w:bidi="en-GB"/>
        </w:rPr>
        <w:t>The framework agreements will be awarded to the most economically advantageous tender, as determined according to the following basis</w:t>
      </w:r>
      <w:r w:rsidR="00EC2168">
        <w:rPr>
          <w:lang w:val="en-GB" w:bidi="en-GB"/>
        </w:rPr>
        <w:t xml:space="preserve">: </w:t>
      </w:r>
    </w:p>
    <w:p w14:paraId="02C1DF1C" w14:textId="0868B03A" w:rsidR="002D3B73" w:rsidRPr="00FF6C7C" w:rsidRDefault="002D3B73" w:rsidP="009400C6">
      <w:r w:rsidRPr="00EC2168">
        <w:rPr>
          <w:b/>
          <w:bCs/>
          <w:lang w:val="en-GB" w:bidi="en-GB"/>
        </w:rPr>
        <w:t>Best price-quality ratio</w:t>
      </w:r>
    </w:p>
    <w:p w14:paraId="6298EDD1" w14:textId="77777777" w:rsidR="002D3B73" w:rsidRDefault="002D3B73" w:rsidP="009400C6">
      <w:r>
        <w:rPr>
          <w:lang w:val="en-GB" w:bidi="en-GB"/>
        </w:rPr>
        <w:t xml:space="preserve">The examination and evaluation of submitted tenders will be carried out in steps (described below), on the basis of the information provided by the tenderer in its tender, together with the </w:t>
      </w:r>
      <w:r>
        <w:rPr>
          <w:lang w:bidi="en-GB"/>
        </w:rPr>
        <w:t>supplementary</w:t>
      </w:r>
      <w:r>
        <w:rPr>
          <w:lang w:val="en-GB" w:bidi="en-GB"/>
        </w:rPr>
        <w:t xml:space="preserve"> documents. </w:t>
      </w:r>
    </w:p>
    <w:p w14:paraId="3CE9ACA4" w14:textId="77777777" w:rsidR="009400C6" w:rsidRDefault="002D3B73" w:rsidP="008B182A">
      <w:pPr>
        <w:pStyle w:val="Heading4"/>
        <w:rPr>
          <w:rFonts w:eastAsia="Calibri"/>
          <w:lang w:val="en-GB" w:bidi="en-GB"/>
        </w:rPr>
      </w:pPr>
      <w:r>
        <w:rPr>
          <w:rFonts w:eastAsia="Calibri"/>
          <w:lang w:val="en-GB" w:bidi="en-GB"/>
        </w:rPr>
        <w:t xml:space="preserve">Step 1 – Examination of tenders </w:t>
      </w:r>
    </w:p>
    <w:p w14:paraId="1FE8510F" w14:textId="3C5FA92B" w:rsidR="002D3B73" w:rsidRDefault="002D3B73" w:rsidP="008B182A">
      <w:pPr>
        <w:rPr>
          <w:b/>
        </w:rPr>
      </w:pPr>
      <w:r>
        <w:rPr>
          <w:lang w:val="en-GB" w:bidi="en-GB"/>
        </w:rPr>
        <w:t xml:space="preserve">In the first step, the Embassy will examine whether the submitted tender is complete and whether the requirements outlined in the section “Administrative terms and conditions” and in the section “Requirements for tenderers” have been met. The tenders that meet these requirements advance to Step 2; all other tenders will be rejected. </w:t>
      </w:r>
    </w:p>
    <w:p w14:paraId="69A7E3B6" w14:textId="77777777" w:rsidR="009400C6" w:rsidRPr="008B182A" w:rsidRDefault="002D3B73" w:rsidP="008B182A">
      <w:pPr>
        <w:pStyle w:val="Heading4"/>
      </w:pPr>
      <w:r w:rsidRPr="008B182A">
        <w:t>Step 2 – Examination of the object of the procurement</w:t>
      </w:r>
    </w:p>
    <w:p w14:paraId="2E7A66AB" w14:textId="4CC062FC" w:rsidR="002D3B73" w:rsidRDefault="002D3B73" w:rsidP="008B182A">
      <w:pPr>
        <w:rPr>
          <w:b/>
        </w:rPr>
      </w:pPr>
      <w:r>
        <w:rPr>
          <w:lang w:val="en-GB" w:bidi="en-GB"/>
        </w:rPr>
        <w:t>In Step 2, the Embassy will examine whether the tender meets the requirements associated with the object of the procurement, which are outlined in the section “Requirements for services.” The tenders that meet these requirements advance to Step 3; all other tenders will be rejected.</w:t>
      </w:r>
    </w:p>
    <w:p w14:paraId="27E45C9F" w14:textId="77777777" w:rsidR="008B182A" w:rsidRDefault="002D3B73" w:rsidP="00BB4A7C">
      <w:pPr>
        <w:pStyle w:val="Heading4"/>
        <w:rPr>
          <w:rFonts w:eastAsia="Calibri"/>
          <w:lang w:val="en-GB" w:bidi="en-GB"/>
        </w:rPr>
      </w:pPr>
      <w:r>
        <w:rPr>
          <w:rFonts w:eastAsia="Calibri"/>
          <w:lang w:val="en-GB" w:bidi="en-GB"/>
        </w:rPr>
        <w:t xml:space="preserve">Step 3 – Evaluation </w:t>
      </w:r>
    </w:p>
    <w:p w14:paraId="28C18D22" w14:textId="7EC21660" w:rsidR="002D3B73" w:rsidRDefault="002D3B73" w:rsidP="00D7000F">
      <w:pPr>
        <w:rPr>
          <w:b/>
        </w:rPr>
      </w:pPr>
      <w:r>
        <w:rPr>
          <w:lang w:val="en-GB" w:bidi="en-GB"/>
        </w:rPr>
        <w:t xml:space="preserve">In Step 3, the tender is evaluated in accordance with the evaluation methodology, as set forth in the section “Evaluation of tenders.” </w:t>
      </w:r>
    </w:p>
    <w:p w14:paraId="37F03430" w14:textId="77777777" w:rsidR="00BB4A7C" w:rsidRDefault="002D3B73" w:rsidP="00BB4A7C">
      <w:pPr>
        <w:pStyle w:val="Heading4"/>
        <w:rPr>
          <w:rFonts w:eastAsia="Calibri"/>
          <w:lang w:val="en-GB" w:bidi="en-GB"/>
        </w:rPr>
      </w:pPr>
      <w:r>
        <w:rPr>
          <w:rFonts w:eastAsia="Calibri"/>
          <w:lang w:val="en-GB" w:bidi="en-GB"/>
        </w:rPr>
        <w:t>Step 4 – Qualification of tenderers</w:t>
      </w:r>
    </w:p>
    <w:p w14:paraId="2450111E" w14:textId="24811333" w:rsidR="002D3B73" w:rsidRPr="00291F56" w:rsidRDefault="002D3B73" w:rsidP="00D7000F">
      <w:pPr>
        <w:rPr>
          <w:lang w:val="en-GB"/>
        </w:rPr>
      </w:pPr>
      <w:r>
        <w:rPr>
          <w:lang w:val="en-GB" w:bidi="en-GB"/>
        </w:rPr>
        <w:t>Prior to offering to sign the framework agreements, the Embassy will verify whether the requirements set forth in the section “Requirements of tenderers” is fulfilled by requesting information or evidence according to section “Qualification of tenderers”.</w:t>
      </w:r>
    </w:p>
    <w:p w14:paraId="1B23844B" w14:textId="4F71F237" w:rsidR="002D3B73" w:rsidRPr="00D972E1" w:rsidRDefault="002D3B73" w:rsidP="00D972E1">
      <w:pPr>
        <w:pStyle w:val="Heading2"/>
      </w:pPr>
      <w:r w:rsidRPr="00BB4A7C">
        <w:t>2.</w:t>
      </w:r>
      <w:r w:rsidR="00B5663B">
        <w:t>8</w:t>
      </w:r>
      <w:r w:rsidRPr="00BB4A7C">
        <w:t xml:space="preserve">. Call-off procedure </w:t>
      </w:r>
    </w:p>
    <w:p w14:paraId="18661ED1" w14:textId="2811A25A" w:rsidR="00570A7B" w:rsidRPr="00D972E1" w:rsidRDefault="00570A7B" w:rsidP="00570A7B">
      <w:pPr>
        <w:rPr>
          <w:b/>
          <w:bCs/>
          <w:i/>
          <w:iCs/>
          <w:sz w:val="22"/>
          <w:szCs w:val="20"/>
        </w:rPr>
      </w:pPr>
      <w:r w:rsidRPr="00D972E1">
        <w:rPr>
          <w:b/>
          <w:bCs/>
          <w:i/>
          <w:iCs/>
          <w:sz w:val="22"/>
          <w:szCs w:val="20"/>
          <w:lang w:val="en-GB" w:bidi="en-GB"/>
        </w:rPr>
        <w:t>Combined call-off order</w:t>
      </w:r>
    </w:p>
    <w:p w14:paraId="20B8F7EB" w14:textId="77777777" w:rsidR="00570A7B" w:rsidRDefault="00570A7B" w:rsidP="00570A7B">
      <w:r>
        <w:rPr>
          <w:lang w:val="en-GB" w:bidi="en-GB"/>
        </w:rPr>
        <w:t xml:space="preserve">Call-off orders are implemented through a combination of a fixed ranking system and </w:t>
      </w:r>
      <w:r>
        <w:rPr>
          <w:color w:val="000000" w:themeColor="text1"/>
          <w:lang w:val="en-GB" w:bidi="en-GB"/>
        </w:rPr>
        <w:t>renewed competitive tendering</w:t>
      </w:r>
      <w:r>
        <w:rPr>
          <w:lang w:val="en-GB" w:bidi="en-GB"/>
        </w:rPr>
        <w:t xml:space="preserve">. </w:t>
      </w:r>
    </w:p>
    <w:p w14:paraId="730BAA7D" w14:textId="45868279" w:rsidR="00570A7B" w:rsidRPr="0020673B" w:rsidRDefault="00570A7B" w:rsidP="0020673B">
      <w:pPr>
        <w:autoSpaceDE w:val="0"/>
        <w:autoSpaceDN w:val="0"/>
        <w:spacing w:before="40" w:after="40"/>
        <w:rPr>
          <w:lang w:val="en-GB" w:bidi="en-GB"/>
        </w:rPr>
      </w:pPr>
      <w:r>
        <w:rPr>
          <w:lang w:bidi="en-GB"/>
        </w:rPr>
        <w:t>C</w:t>
      </w:r>
      <w:r>
        <w:rPr>
          <w:lang w:val="en-GB" w:bidi="en-GB"/>
        </w:rPr>
        <w:t xml:space="preserve">all-off orders equal to or below 160 working hours is implemented through a ranking system. When calling-off, the top-ranked framework agreement supplier (in the ranking system) shall be </w:t>
      </w:r>
      <w:r>
        <w:rPr>
          <w:lang w:val="en-GB" w:bidi="en-GB"/>
        </w:rPr>
        <w:lastRenderedPageBreak/>
        <w:t xml:space="preserve">selected. </w:t>
      </w:r>
      <w:r w:rsidR="0020673B" w:rsidRPr="0020673B">
        <w:rPr>
          <w:lang w:val="en-GB" w:bidi="en-GB"/>
        </w:rPr>
        <w:t>When calling-off, the top-ranked Consultant (in the ranking system) shall be </w:t>
      </w:r>
      <w:r w:rsidR="0020673B" w:rsidRPr="0020673B">
        <w:rPr>
          <w:lang w:val="en-GB" w:bidi="en-GB"/>
        </w:rPr>
        <w:br/>
        <w:t>selected. The top-ranked Consultant is obliged to confirm the call-off enquiry </w:t>
      </w:r>
      <w:r w:rsidR="0020673B" w:rsidRPr="0020673B">
        <w:rPr>
          <w:lang w:val="en-GB" w:bidi="en-GB"/>
        </w:rPr>
        <w:br/>
        <w:t>within two (2) working days and to respond to the call-off enquiry within ten (10) </w:t>
      </w:r>
      <w:r w:rsidR="0020673B" w:rsidRPr="0020673B">
        <w:rPr>
          <w:lang w:val="en-GB" w:bidi="en-GB"/>
        </w:rPr>
        <w:br/>
        <w:t>working days.</w:t>
      </w:r>
    </w:p>
    <w:p w14:paraId="21987F7D" w14:textId="2C0C6E6C" w:rsidR="00570A7B" w:rsidRDefault="00570A7B" w:rsidP="00570A7B">
      <w:r>
        <w:rPr>
          <w:lang w:val="en-GB" w:bidi="en-GB"/>
        </w:rPr>
        <w:t xml:space="preserve">Call-off orders above 160 working hours is implemented through </w:t>
      </w:r>
      <w:r>
        <w:rPr>
          <w:color w:val="000000" w:themeColor="text1"/>
          <w:lang w:val="en-GB" w:bidi="en-GB"/>
        </w:rPr>
        <w:t>renewed competitive tendering</w:t>
      </w:r>
      <w:r>
        <w:rPr>
          <w:lang w:val="en-GB" w:bidi="en-GB"/>
        </w:rPr>
        <w:t>. The call-off enquiry is issued to all suppliers contracted through framework agreements.</w:t>
      </w:r>
    </w:p>
    <w:p w14:paraId="725F9E79" w14:textId="478E28D1" w:rsidR="00570A7B" w:rsidRDefault="00570A7B" w:rsidP="00570A7B">
      <w:pPr>
        <w:rPr>
          <w:lang w:bidi="en-GB"/>
        </w:rPr>
      </w:pPr>
      <w:r>
        <w:rPr>
          <w:lang w:bidi="en-GB"/>
        </w:rPr>
        <w:t>One (1) supplier will be accepted, provided that as many eligible offers are received.</w:t>
      </w:r>
    </w:p>
    <w:p w14:paraId="6CF98E3B" w14:textId="6FEFA7AC" w:rsidR="002D3B73" w:rsidRPr="00570A7B" w:rsidRDefault="00570A7B" w:rsidP="00570A7B">
      <w:r>
        <w:t>Contracts will be awarded to the tenderer who has submitted the most economically advantageous tender in the renewed competition, according to the following basis:</w:t>
      </w:r>
    </w:p>
    <w:p w14:paraId="3CD266AB" w14:textId="77777777" w:rsidR="002D3B73" w:rsidRPr="00EC2168" w:rsidRDefault="002D3B73" w:rsidP="00D7000F">
      <w:pPr>
        <w:ind w:left="1276"/>
        <w:rPr>
          <w:b/>
          <w:bCs/>
          <w:lang w:val="en-GB" w:bidi="en-GB"/>
        </w:rPr>
      </w:pPr>
      <w:r w:rsidRPr="00EC2168">
        <w:rPr>
          <w:b/>
          <w:bCs/>
          <w:lang w:val="en-GB" w:bidi="en-GB"/>
        </w:rPr>
        <w:t xml:space="preserve">Best price-quality ratio </w:t>
      </w:r>
    </w:p>
    <w:p w14:paraId="6EB98410" w14:textId="77777777" w:rsidR="002D3B73" w:rsidRPr="00BB4A7C" w:rsidRDefault="002D3B73" w:rsidP="00BB4A7C">
      <w:pPr>
        <w:ind w:left="1304"/>
        <w:rPr>
          <w:rFonts w:asciiTheme="minorHAnsi" w:hAnsiTheme="minorHAnsi" w:cs="Calibri"/>
          <w:color w:val="000000"/>
        </w:rPr>
      </w:pPr>
      <w:r w:rsidRPr="00BB4A7C">
        <w:rPr>
          <w:rFonts w:asciiTheme="minorHAnsi" w:eastAsia="Calibri" w:hAnsiTheme="minorHAnsi" w:cs="Calibri"/>
          <w:color w:val="000000"/>
          <w:lang w:val="en-GB" w:bidi="en-GB"/>
        </w:rPr>
        <w:t xml:space="preserve">Award criteria to be assessed at </w:t>
      </w:r>
      <w:r w:rsidRPr="00BB4A7C">
        <w:rPr>
          <w:rFonts w:asciiTheme="minorHAnsi" w:eastAsia="Calibri" w:hAnsiTheme="minorHAnsi" w:cs="Calibri"/>
          <w:color w:val="000000" w:themeColor="text1"/>
          <w:lang w:val="en-GB" w:bidi="en-GB"/>
        </w:rPr>
        <w:t>renewed competitive tendering</w:t>
      </w:r>
      <w:r w:rsidRPr="00BB4A7C">
        <w:rPr>
          <w:rFonts w:asciiTheme="minorHAnsi" w:eastAsia="Calibri" w:hAnsiTheme="minorHAnsi" w:cs="Calibri"/>
          <w:color w:val="000000"/>
          <w:lang w:val="en-GB" w:bidi="en-GB"/>
        </w:rPr>
        <w:t xml:space="preserve"> include, for example:</w:t>
      </w:r>
    </w:p>
    <w:p w14:paraId="5E0C40C3" w14:textId="28DAAD7C" w:rsidR="002D3B73" w:rsidRPr="00BB4A7C" w:rsidRDefault="002D3B73" w:rsidP="002D3B73">
      <w:pPr>
        <w:pStyle w:val="ListParagraph"/>
        <w:numPr>
          <w:ilvl w:val="0"/>
          <w:numId w:val="2"/>
        </w:numPr>
        <w:spacing w:after="0"/>
        <w:rPr>
          <w:rFonts w:asciiTheme="minorHAnsi" w:hAnsiTheme="minorHAnsi" w:cs="Calibri"/>
          <w:color w:val="000000"/>
        </w:rPr>
      </w:pPr>
      <w:r w:rsidRPr="00BB4A7C">
        <w:rPr>
          <w:rFonts w:asciiTheme="minorHAnsi" w:eastAsia="Calibri" w:hAnsiTheme="minorHAnsi" w:cs="Calibri"/>
          <w:color w:val="000000"/>
          <w:lang w:val="en-GB" w:bidi="en-GB"/>
        </w:rPr>
        <w:t>Competences and qualifications</w:t>
      </w:r>
    </w:p>
    <w:p w14:paraId="171D68DC" w14:textId="5AC106AE" w:rsidR="002D3B73" w:rsidRPr="00BB4A7C" w:rsidRDefault="00231909" w:rsidP="002D3B73">
      <w:pPr>
        <w:pStyle w:val="ListParagraph"/>
        <w:numPr>
          <w:ilvl w:val="0"/>
          <w:numId w:val="2"/>
        </w:numPr>
        <w:spacing w:after="0"/>
        <w:rPr>
          <w:rFonts w:asciiTheme="minorHAnsi" w:hAnsiTheme="minorHAnsi" w:cs="Calibri"/>
          <w:color w:val="000000"/>
        </w:rPr>
      </w:pPr>
      <w:r>
        <w:rPr>
          <w:rFonts w:asciiTheme="minorHAnsi" w:eastAsia="Calibri" w:hAnsiTheme="minorHAnsi" w:cs="Calibri"/>
          <w:color w:val="000000"/>
          <w:lang w:val="en-GB" w:bidi="en-GB"/>
        </w:rPr>
        <w:t>Organisation for the assignment</w:t>
      </w:r>
    </w:p>
    <w:p w14:paraId="5E4C889A" w14:textId="1D5CAE89" w:rsidR="002D3B73" w:rsidRPr="00BB4A7C" w:rsidRDefault="002D3B73" w:rsidP="002D3B73">
      <w:pPr>
        <w:pStyle w:val="ListParagraph"/>
        <w:numPr>
          <w:ilvl w:val="0"/>
          <w:numId w:val="2"/>
        </w:numPr>
        <w:spacing w:after="0"/>
        <w:rPr>
          <w:rFonts w:asciiTheme="minorHAnsi" w:hAnsiTheme="minorHAnsi" w:cs="Calibri"/>
          <w:color w:val="000000"/>
        </w:rPr>
      </w:pPr>
      <w:r w:rsidRPr="00BB4A7C">
        <w:rPr>
          <w:rFonts w:asciiTheme="minorHAnsi" w:eastAsia="Calibri" w:hAnsiTheme="minorHAnsi" w:cs="Calibri"/>
          <w:color w:val="000000"/>
          <w:lang w:val="en-GB" w:bidi="en-GB"/>
        </w:rPr>
        <w:t>Method</w:t>
      </w:r>
    </w:p>
    <w:p w14:paraId="39215D21" w14:textId="5F354CC7" w:rsidR="002D3B73" w:rsidRPr="00BB4A7C" w:rsidRDefault="002D3B73" w:rsidP="002D3B73">
      <w:pPr>
        <w:pStyle w:val="ListParagraph"/>
        <w:numPr>
          <w:ilvl w:val="0"/>
          <w:numId w:val="2"/>
        </w:numPr>
        <w:spacing w:after="0"/>
        <w:rPr>
          <w:rFonts w:asciiTheme="minorHAnsi" w:hAnsiTheme="minorHAnsi" w:cs="Calibri"/>
          <w:color w:val="000000"/>
        </w:rPr>
      </w:pPr>
      <w:r w:rsidRPr="00BB4A7C">
        <w:rPr>
          <w:rFonts w:asciiTheme="minorHAnsi" w:eastAsia="Calibri" w:hAnsiTheme="minorHAnsi" w:cs="Calibri"/>
          <w:color w:val="000000"/>
          <w:lang w:val="en-GB" w:bidi="en-GB"/>
        </w:rPr>
        <w:t>Timeline and work plan</w:t>
      </w:r>
    </w:p>
    <w:p w14:paraId="7241D5F9" w14:textId="6165F622" w:rsidR="002D3B73" w:rsidRPr="00D972E1" w:rsidRDefault="002D3B73" w:rsidP="00BB4A7C">
      <w:pPr>
        <w:pStyle w:val="ListParagraph"/>
        <w:numPr>
          <w:ilvl w:val="0"/>
          <w:numId w:val="2"/>
        </w:numPr>
        <w:ind w:left="1661" w:hanging="357"/>
        <w:contextualSpacing w:val="0"/>
        <w:rPr>
          <w:rFonts w:asciiTheme="minorHAnsi" w:hAnsiTheme="minorHAnsi" w:cs="Calibri"/>
          <w:color w:val="000000"/>
        </w:rPr>
      </w:pPr>
      <w:r w:rsidRPr="00BB4A7C">
        <w:rPr>
          <w:rFonts w:asciiTheme="minorHAnsi" w:eastAsia="Calibri" w:hAnsiTheme="minorHAnsi" w:cs="Calibri"/>
          <w:color w:val="000000"/>
          <w:lang w:val="en-GB" w:bidi="en-GB"/>
        </w:rPr>
        <w:t>Price</w:t>
      </w:r>
    </w:p>
    <w:p w14:paraId="1FA05224" w14:textId="55CC16F5" w:rsidR="00D972E1" w:rsidRPr="0020673B" w:rsidRDefault="00D972E1" w:rsidP="00D972E1">
      <w:pPr>
        <w:rPr>
          <w:rFonts w:cs="Calibri"/>
          <w:color w:val="000000"/>
        </w:rPr>
      </w:pPr>
      <w:bookmarkStart w:id="2" w:name="_Hlk153902478"/>
      <w:r>
        <w:t>Forensic and investigative audits are implemented through a ranking system</w:t>
      </w:r>
      <w:r w:rsidR="00C924C0">
        <w:t>, without consideration of the t</w:t>
      </w:r>
      <w:r w:rsidR="00C0069F">
        <w:t>hr</w:t>
      </w:r>
      <w:r w:rsidR="00C924C0">
        <w:t>eshold (160 hours).</w:t>
      </w:r>
      <w:r w:rsidR="0020673B">
        <w:t xml:space="preserve"> </w:t>
      </w:r>
      <w:r w:rsidR="0020673B">
        <w:rPr>
          <w:rFonts w:cs="Calibri"/>
          <w:color w:val="000000"/>
        </w:rPr>
        <w:t>Time to answer is 5 working days.</w:t>
      </w:r>
    </w:p>
    <w:bookmarkEnd w:id="2"/>
    <w:p w14:paraId="021DD6EF" w14:textId="77777777" w:rsidR="002D3B73" w:rsidRPr="00E059F3" w:rsidRDefault="002D3B73" w:rsidP="00E059F3">
      <w:pPr>
        <w:pStyle w:val="Heading2"/>
      </w:pPr>
      <w:r w:rsidRPr="00E059F3">
        <w:t>2.9. Contract terms and conditions</w:t>
      </w:r>
    </w:p>
    <w:p w14:paraId="7136268D" w14:textId="003404C2" w:rsidR="00750CAD" w:rsidRDefault="002D3B73" w:rsidP="00827D1F">
      <w:pPr>
        <w:spacing w:after="0"/>
        <w:rPr>
          <w:color w:val="000000"/>
          <w:lang w:val="en-GB" w:bidi="en-GB"/>
        </w:rPr>
      </w:pPr>
      <w:r>
        <w:rPr>
          <w:color w:val="000000"/>
          <w:lang w:val="en-GB" w:bidi="en-GB"/>
        </w:rPr>
        <w:t>The tenderer shall accept the attached framework agreement</w:t>
      </w:r>
      <w:r w:rsidR="00364D07">
        <w:rPr>
          <w:color w:val="000000"/>
          <w:lang w:val="en-GB" w:bidi="en-GB"/>
        </w:rPr>
        <w:t>, including appendices</w:t>
      </w:r>
      <w:r w:rsidR="00827D1F">
        <w:rPr>
          <w:color w:val="000000"/>
          <w:lang w:val="en-GB" w:bidi="en-GB"/>
        </w:rPr>
        <w:t xml:space="preserve"> and </w:t>
      </w:r>
      <w:proofErr w:type="spellStart"/>
      <w:r w:rsidR="00827D1F">
        <w:rPr>
          <w:color w:val="000000"/>
          <w:lang w:val="en-GB" w:bidi="en-GB"/>
        </w:rPr>
        <w:t>Sidas</w:t>
      </w:r>
      <w:proofErr w:type="spellEnd"/>
      <w:r w:rsidR="00827D1F">
        <w:rPr>
          <w:color w:val="000000"/>
          <w:lang w:val="en-GB" w:bidi="en-GB"/>
        </w:rPr>
        <w:t xml:space="preserve"> S</w:t>
      </w:r>
      <w:r>
        <w:rPr>
          <w:color w:val="000000"/>
          <w:lang w:val="en-GB" w:bidi="en-GB"/>
        </w:rPr>
        <w:t xml:space="preserve">tandard </w:t>
      </w:r>
      <w:r w:rsidR="00827D1F">
        <w:rPr>
          <w:color w:val="000000"/>
          <w:lang w:val="en-GB" w:bidi="en-GB"/>
        </w:rPr>
        <w:t>C</w:t>
      </w:r>
      <w:r>
        <w:rPr>
          <w:color w:val="000000"/>
          <w:lang w:val="en-GB" w:bidi="en-GB"/>
        </w:rPr>
        <w:t>onditions</w:t>
      </w:r>
      <w:r w:rsidR="00827D1F">
        <w:rPr>
          <w:color w:val="000000"/>
          <w:lang w:val="en-GB" w:bidi="en-GB"/>
        </w:rPr>
        <w:t xml:space="preserve"> for Framework Agreements and Contracts</w:t>
      </w:r>
      <w:r>
        <w:rPr>
          <w:color w:val="000000"/>
          <w:lang w:val="en-GB" w:bidi="en-GB"/>
        </w:rPr>
        <w:t>.</w:t>
      </w:r>
      <w:r w:rsidR="00827D1F">
        <w:rPr>
          <w:color w:val="000000"/>
          <w:lang w:val="en-GB" w:bidi="en-GB"/>
        </w:rPr>
        <w:t xml:space="preserve"> </w:t>
      </w:r>
    </w:p>
    <w:p w14:paraId="372D66E4" w14:textId="0CFD06A6" w:rsidR="005014BA" w:rsidRDefault="005014BA" w:rsidP="005014BA">
      <w:pPr>
        <w:pStyle w:val="Heading2"/>
        <w:rPr>
          <w:color w:val="FF0000"/>
        </w:rPr>
      </w:pPr>
      <w:r>
        <w:t>2.10. Personal Data Processing</w:t>
      </w:r>
    </w:p>
    <w:p w14:paraId="63D11729" w14:textId="03E37C8B" w:rsidR="005014BA" w:rsidRDefault="005014BA" w:rsidP="00827D1F">
      <w:pPr>
        <w:spacing w:after="0"/>
      </w:pPr>
      <w:r>
        <w:t xml:space="preserve">The tenderer shall accept the personal data processing agreement in Appendix - </w:t>
      </w:r>
      <w:r w:rsidR="00EC2168">
        <w:t>7</w:t>
      </w:r>
      <w:r>
        <w:t>.</w:t>
      </w:r>
    </w:p>
    <w:p w14:paraId="1A2A1AB0" w14:textId="439E85D7" w:rsidR="002D3B73" w:rsidRPr="00E059F3" w:rsidRDefault="002D3B73" w:rsidP="00203921">
      <w:pPr>
        <w:pStyle w:val="Heading1"/>
        <w:ind w:right="-286"/>
        <w:rPr>
          <w:color w:val="FF0000"/>
          <w:lang w:val="en-GB" w:eastAsia="sv-SE"/>
        </w:rPr>
      </w:pPr>
      <w:r w:rsidRPr="00E059F3">
        <w:lastRenderedPageBreak/>
        <w:t xml:space="preserve">3. Requirements for tenderers </w:t>
      </w:r>
    </w:p>
    <w:p w14:paraId="3AE89772" w14:textId="157B5961" w:rsidR="002D3B73" w:rsidRPr="00E059F3" w:rsidRDefault="008B19FC" w:rsidP="00E059F3">
      <w:pPr>
        <w:pStyle w:val="Heading2"/>
      </w:pPr>
      <w:hyperlink r:id="rId15" w:history="1">
        <w:r w:rsidR="002D3B73" w:rsidRPr="00E059F3">
          <w:rPr>
            <w:rStyle w:val="Hyperlink"/>
            <w:color w:val="auto"/>
          </w:rPr>
          <w:t>3.</w:t>
        </w:r>
        <w:r w:rsidR="00354801">
          <w:rPr>
            <w:rStyle w:val="Hyperlink"/>
            <w:color w:val="auto"/>
          </w:rPr>
          <w:t>1</w:t>
        </w:r>
        <w:r w:rsidR="002D3B73" w:rsidRPr="00E059F3">
          <w:rPr>
            <w:rStyle w:val="Hyperlink"/>
            <w:color w:val="auto"/>
          </w:rPr>
          <w:t>. Self</w:t>
        </w:r>
      </w:hyperlink>
      <w:r w:rsidR="002D3B73" w:rsidRPr="00E059F3">
        <w:t xml:space="preserve">-declaration by tenderers </w:t>
      </w:r>
    </w:p>
    <w:p w14:paraId="4CB7DEF3" w14:textId="0A127D68" w:rsidR="00827D1F" w:rsidRPr="00827D1F" w:rsidRDefault="00827D1F" w:rsidP="00827D1F">
      <w:pPr>
        <w:rPr>
          <w:rFonts w:asciiTheme="minorHAnsi" w:eastAsia="Times New Roman" w:hAnsiTheme="minorHAnsi" w:cs="Calibri"/>
          <w:color w:val="000000"/>
          <w:lang w:val="en-GB" w:eastAsia="sv-SE"/>
        </w:rPr>
      </w:pPr>
      <w:r w:rsidRPr="00827D1F">
        <w:rPr>
          <w:rFonts w:asciiTheme="minorHAnsi" w:eastAsia="Times New Roman" w:hAnsiTheme="minorHAnsi" w:cs="Calibri"/>
          <w:color w:val="000000"/>
          <w:lang w:val="en-GB" w:eastAsia="sv-SE"/>
        </w:rPr>
        <w:t xml:space="preserve">The tenderer shall respond to all requirements in the section “Requirements of tenderers” in this procurement document. Alternatively, it may reuse a previously completed ESPD. </w:t>
      </w:r>
    </w:p>
    <w:p w14:paraId="78C31157" w14:textId="390B61DD" w:rsidR="00827A86" w:rsidRDefault="00827D1F" w:rsidP="00827D1F">
      <w:pPr>
        <w:rPr>
          <w:lang w:val="en-GB" w:bidi="en-GB"/>
        </w:rPr>
      </w:pPr>
      <w:r w:rsidRPr="00827D1F">
        <w:rPr>
          <w:rFonts w:asciiTheme="minorHAnsi" w:eastAsia="Times New Roman" w:hAnsiTheme="minorHAnsi" w:cs="Calibri"/>
          <w:color w:val="000000"/>
          <w:lang w:val="en-GB" w:eastAsia="sv-SE"/>
        </w:rPr>
        <w:t xml:space="preserve">If the tenderer </w:t>
      </w:r>
      <w:proofErr w:type="gramStart"/>
      <w:r w:rsidRPr="00827D1F">
        <w:rPr>
          <w:rFonts w:asciiTheme="minorHAnsi" w:eastAsia="Times New Roman" w:hAnsiTheme="minorHAnsi" w:cs="Calibri"/>
          <w:color w:val="000000"/>
          <w:lang w:val="en-GB" w:eastAsia="sv-SE"/>
        </w:rPr>
        <w:t>choose</w:t>
      </w:r>
      <w:proofErr w:type="gramEnd"/>
      <w:r w:rsidRPr="00827D1F">
        <w:rPr>
          <w:rFonts w:asciiTheme="minorHAnsi" w:eastAsia="Times New Roman" w:hAnsiTheme="minorHAnsi" w:cs="Calibri"/>
          <w:color w:val="000000"/>
          <w:lang w:val="en-GB" w:eastAsia="sv-SE"/>
        </w:rPr>
        <w:t xml:space="preserve"> to reuse the ESPD document, the tenderer is obliged to ensure that all requirements in the section “Exclusion grounds” and the section “Qualification requirements” in this procurement document </w:t>
      </w:r>
      <w:r w:rsidR="00456E2D" w:rsidRPr="00EE4A21">
        <w:rPr>
          <w:rFonts w:asciiTheme="minorHAnsi" w:eastAsia="Times New Roman" w:hAnsiTheme="minorHAnsi" w:cs="Calibri"/>
          <w:b/>
          <w:bCs/>
          <w:lang w:val="en-GB" w:eastAsia="sv-SE"/>
        </w:rPr>
        <w:t>(</w:t>
      </w:r>
      <w:proofErr w:type="spellStart"/>
      <w:r w:rsidR="00456E2D" w:rsidRPr="00EE4A21">
        <w:rPr>
          <w:rFonts w:asciiTheme="minorHAnsi" w:eastAsia="Times New Roman" w:hAnsiTheme="minorHAnsi" w:cs="Calibri"/>
          <w:b/>
          <w:bCs/>
          <w:lang w:val="en-GB" w:eastAsia="sv-SE"/>
        </w:rPr>
        <w:t>Appendice</w:t>
      </w:r>
      <w:proofErr w:type="spellEnd"/>
      <w:r w:rsidR="00456E2D" w:rsidRPr="00EE4A21">
        <w:rPr>
          <w:rFonts w:asciiTheme="minorHAnsi" w:eastAsia="Times New Roman" w:hAnsiTheme="minorHAnsi" w:cs="Calibri"/>
          <w:b/>
          <w:bCs/>
          <w:lang w:val="en-GB" w:eastAsia="sv-SE"/>
        </w:rPr>
        <w:t xml:space="preserve"> 4)</w:t>
      </w:r>
      <w:r w:rsidR="00456E2D" w:rsidRPr="00EE4A21">
        <w:rPr>
          <w:rFonts w:asciiTheme="minorHAnsi" w:eastAsia="Times New Roman" w:hAnsiTheme="minorHAnsi" w:cs="Calibri"/>
          <w:lang w:val="en-GB" w:eastAsia="sv-SE"/>
        </w:rPr>
        <w:t xml:space="preserve"> </w:t>
      </w:r>
      <w:r w:rsidRPr="00827D1F">
        <w:rPr>
          <w:rFonts w:asciiTheme="minorHAnsi" w:eastAsia="Times New Roman" w:hAnsiTheme="minorHAnsi" w:cs="Calibri"/>
          <w:color w:val="000000"/>
          <w:lang w:val="en-GB" w:eastAsia="sv-SE"/>
        </w:rPr>
        <w:t>have been answered in the attached ESPD.</w:t>
      </w:r>
    </w:p>
    <w:p w14:paraId="5B6F3236" w14:textId="472CC7C6" w:rsidR="00827D1F" w:rsidRDefault="00827D1F" w:rsidP="00827D1F">
      <w:pPr>
        <w:pStyle w:val="Heading2"/>
      </w:pPr>
      <w:r>
        <w:t xml:space="preserve">3.2 </w:t>
      </w:r>
      <w:r w:rsidRPr="00827D1F">
        <w:t>Subcontractors on which the tenderer relies</w:t>
      </w:r>
    </w:p>
    <w:p w14:paraId="6A0AA69E" w14:textId="52FCB6DF" w:rsidR="00827D1F" w:rsidRPr="00827D1F" w:rsidRDefault="00827D1F" w:rsidP="00827D1F">
      <w:pPr>
        <w:rPr>
          <w:rFonts w:asciiTheme="minorHAnsi" w:eastAsia="Times New Roman" w:hAnsiTheme="minorHAnsi" w:cs="Calibri"/>
          <w:color w:val="000000"/>
          <w:szCs w:val="24"/>
          <w:lang w:val="en-GB" w:eastAsia="sv-SE"/>
        </w:rPr>
      </w:pPr>
      <w:r w:rsidRPr="00827D1F">
        <w:rPr>
          <w:rFonts w:asciiTheme="minorHAnsi" w:eastAsia="Times New Roman" w:hAnsiTheme="minorHAnsi" w:cs="Calibri"/>
          <w:color w:val="000000"/>
          <w:szCs w:val="24"/>
          <w:lang w:val="en-GB" w:eastAsia="sv-SE"/>
        </w:rPr>
        <w:t xml:space="preserve">A tenderer may invoke the capacity of others to meet the requirements relating to </w:t>
      </w:r>
      <w:r w:rsidR="00AE64F0">
        <w:t>economic and financial standing under point 2.2 or technical and professional capacity under point 3 in the Self Declaration by Tenderer.</w:t>
      </w:r>
      <w:r w:rsidRPr="00827D1F">
        <w:rPr>
          <w:rFonts w:asciiTheme="minorHAnsi" w:eastAsia="Times New Roman" w:hAnsiTheme="minorHAnsi" w:cs="Calibri"/>
          <w:color w:val="000000"/>
          <w:szCs w:val="24"/>
          <w:lang w:val="en-GB" w:eastAsia="sv-SE"/>
        </w:rPr>
        <w:t xml:space="preserve"> Other companies refer to natural or legal persons such as subsidiaries or sister companies within a group or a partner.</w:t>
      </w:r>
    </w:p>
    <w:p w14:paraId="5CD670C1" w14:textId="7998E922" w:rsidR="00827D1F" w:rsidRPr="00827D1F" w:rsidRDefault="00827D1F" w:rsidP="00827D1F">
      <w:pPr>
        <w:rPr>
          <w:rFonts w:asciiTheme="minorHAnsi" w:eastAsia="Times New Roman" w:hAnsiTheme="minorHAnsi" w:cs="Calibri"/>
          <w:i/>
          <w:iCs/>
          <w:color w:val="000000"/>
          <w:szCs w:val="24"/>
          <w:lang w:val="en-GB" w:eastAsia="sv-SE"/>
        </w:rPr>
      </w:pPr>
      <w:r w:rsidRPr="00827D1F">
        <w:rPr>
          <w:rFonts w:asciiTheme="minorHAnsi" w:eastAsia="Times New Roman" w:hAnsiTheme="minorHAnsi" w:cs="Calibri"/>
          <w:color w:val="000000"/>
          <w:szCs w:val="24"/>
          <w:lang w:val="en-GB" w:eastAsia="sv-SE"/>
        </w:rPr>
        <w:t xml:space="preserve">A tenderer who </w:t>
      </w:r>
      <w:proofErr w:type="gramStart"/>
      <w:r w:rsidRPr="00827D1F">
        <w:rPr>
          <w:rFonts w:asciiTheme="minorHAnsi" w:eastAsia="Times New Roman" w:hAnsiTheme="minorHAnsi" w:cs="Calibri"/>
          <w:color w:val="000000"/>
          <w:szCs w:val="24"/>
          <w:lang w:val="en-GB" w:eastAsia="sv-SE"/>
        </w:rPr>
        <w:t>invoke</w:t>
      </w:r>
      <w:proofErr w:type="gramEnd"/>
      <w:r w:rsidRPr="00827D1F">
        <w:rPr>
          <w:rFonts w:asciiTheme="minorHAnsi" w:eastAsia="Times New Roman" w:hAnsiTheme="minorHAnsi" w:cs="Calibri"/>
          <w:color w:val="000000"/>
          <w:szCs w:val="24"/>
          <w:lang w:val="en-GB" w:eastAsia="sv-SE"/>
        </w:rPr>
        <w:t xml:space="preserve"> the capacity of other companies must in the tender provide a special declaration regarding all the requirements set out in the section "Exclusion grounds" in this procurement document for each of the companies whose capacity is invoked.</w:t>
      </w:r>
    </w:p>
    <w:p w14:paraId="7150C752" w14:textId="3B3541AD" w:rsidR="00827D1F" w:rsidRPr="00827D1F" w:rsidRDefault="00827D1F" w:rsidP="00827D1F">
      <w:pPr>
        <w:rPr>
          <w:rFonts w:asciiTheme="minorHAnsi" w:eastAsia="Times New Roman" w:hAnsiTheme="minorHAnsi" w:cs="Calibri"/>
          <w:color w:val="000000"/>
          <w:szCs w:val="24"/>
          <w:lang w:val="en-GB" w:eastAsia="sv-SE"/>
        </w:rPr>
      </w:pPr>
      <w:r w:rsidRPr="00827D1F">
        <w:rPr>
          <w:rFonts w:asciiTheme="minorHAnsi" w:eastAsia="Times New Roman" w:hAnsiTheme="minorHAnsi" w:cs="Calibri"/>
          <w:color w:val="000000"/>
          <w:szCs w:val="24"/>
          <w:lang w:val="en-GB" w:eastAsia="sv-SE"/>
        </w:rPr>
        <w:t xml:space="preserve">A tenderer who wishes to exercise this right must, at the request of Sida, state the function that the company is to fulfil and submit a commitment from the company in question or otherwise demonstrate that the tenderer will have the necessary resources when the contract is to be fulfilled. The proof can consist of a parent company guarantee, cooperation agreement or </w:t>
      </w:r>
      <w:proofErr w:type="gramStart"/>
      <w:r w:rsidRPr="00827D1F">
        <w:rPr>
          <w:rFonts w:asciiTheme="minorHAnsi" w:eastAsia="Times New Roman" w:hAnsiTheme="minorHAnsi" w:cs="Calibri"/>
          <w:color w:val="000000"/>
          <w:szCs w:val="24"/>
          <w:lang w:val="en-GB" w:eastAsia="sv-SE"/>
        </w:rPr>
        <w:t>the such</w:t>
      </w:r>
      <w:proofErr w:type="gramEnd"/>
      <w:r w:rsidRPr="00827D1F">
        <w:rPr>
          <w:rFonts w:asciiTheme="minorHAnsi" w:eastAsia="Times New Roman" w:hAnsiTheme="minorHAnsi" w:cs="Calibri"/>
          <w:color w:val="000000"/>
          <w:szCs w:val="24"/>
          <w:lang w:val="en-GB" w:eastAsia="sv-SE"/>
        </w:rPr>
        <w:t xml:space="preserve"> a document.</w:t>
      </w:r>
    </w:p>
    <w:p w14:paraId="44A4733B" w14:textId="77777777" w:rsidR="00827D1F" w:rsidRPr="00827D1F" w:rsidRDefault="00827D1F" w:rsidP="00827D1F">
      <w:pPr>
        <w:rPr>
          <w:rFonts w:asciiTheme="minorHAnsi" w:eastAsia="Times New Roman" w:hAnsiTheme="minorHAnsi" w:cs="Calibri"/>
          <w:color w:val="000000"/>
          <w:szCs w:val="24"/>
          <w:lang w:val="en-GB" w:eastAsia="sv-SE"/>
        </w:rPr>
      </w:pPr>
      <w:r w:rsidRPr="00827D1F">
        <w:rPr>
          <w:rFonts w:asciiTheme="minorHAnsi" w:eastAsia="Times New Roman" w:hAnsiTheme="minorHAnsi" w:cs="Calibri"/>
          <w:color w:val="000000"/>
          <w:szCs w:val="24"/>
          <w:lang w:val="en-GB" w:eastAsia="sv-SE"/>
        </w:rPr>
        <w:t>The tenderer must without delay and on request submit documentation in accordance with the section "Qualification of tenderers" in this procurement document which proves that the above requirement is met.</w:t>
      </w:r>
    </w:p>
    <w:p w14:paraId="7E7CC417" w14:textId="599D26C6" w:rsidR="00827D1F" w:rsidRPr="00456E2D" w:rsidRDefault="00827D1F" w:rsidP="00827D1F">
      <w:pPr>
        <w:rPr>
          <w:rFonts w:asciiTheme="minorHAnsi" w:eastAsia="Times New Roman" w:hAnsiTheme="minorHAnsi" w:cs="Calibri"/>
          <w:b/>
          <w:bCs/>
          <w:i/>
          <w:iCs/>
          <w:color w:val="000000"/>
          <w:szCs w:val="24"/>
          <w:lang w:val="en-GB" w:eastAsia="sv-SE"/>
        </w:rPr>
      </w:pPr>
      <w:r w:rsidRPr="00456E2D">
        <w:rPr>
          <w:rFonts w:asciiTheme="minorHAnsi" w:eastAsia="Times New Roman" w:hAnsiTheme="minorHAnsi" w:cs="Calibri"/>
          <w:b/>
          <w:bCs/>
          <w:i/>
          <w:iCs/>
          <w:color w:val="000000"/>
          <w:szCs w:val="24"/>
          <w:lang w:val="en-GB" w:eastAsia="sv-SE"/>
        </w:rPr>
        <w:t>NOTE, subcontractor (s) to be used for the performance of requested services (</w:t>
      </w:r>
      <w:proofErr w:type="spellStart"/>
      <w:proofErr w:type="gramStart"/>
      <w:r w:rsidRPr="00456E2D">
        <w:rPr>
          <w:rFonts w:asciiTheme="minorHAnsi" w:eastAsia="Times New Roman" w:hAnsiTheme="minorHAnsi" w:cs="Calibri"/>
          <w:b/>
          <w:bCs/>
          <w:i/>
          <w:iCs/>
          <w:color w:val="000000"/>
          <w:szCs w:val="24"/>
          <w:lang w:val="en-GB" w:eastAsia="sv-SE"/>
        </w:rPr>
        <w:t>ie</w:t>
      </w:r>
      <w:proofErr w:type="spellEnd"/>
      <w:proofErr w:type="gramEnd"/>
      <w:r w:rsidRPr="00456E2D">
        <w:rPr>
          <w:rFonts w:asciiTheme="minorHAnsi" w:eastAsia="Times New Roman" w:hAnsiTheme="minorHAnsi" w:cs="Calibri"/>
          <w:b/>
          <w:bCs/>
          <w:i/>
          <w:iCs/>
          <w:color w:val="000000"/>
          <w:szCs w:val="24"/>
          <w:lang w:val="en-GB" w:eastAsia="sv-SE"/>
        </w:rPr>
        <w:t xml:space="preserve"> the object of the procurement) are not to be considered as invoked companies.</w:t>
      </w:r>
    </w:p>
    <w:p w14:paraId="1D31E2B2" w14:textId="77777777" w:rsidR="007359A0" w:rsidRPr="007911EE" w:rsidRDefault="007359A0" w:rsidP="007359A0">
      <w:pPr>
        <w:pStyle w:val="Heading1"/>
        <w:rPr>
          <w:rFonts w:eastAsia="Times New Roman"/>
          <w:sz w:val="32"/>
          <w:szCs w:val="32"/>
          <w:lang w:val="en-GB" w:eastAsia="sv-SE"/>
        </w:rPr>
      </w:pPr>
      <w:r w:rsidRPr="007911EE">
        <w:rPr>
          <w:rFonts w:eastAsia="Times New Roman"/>
          <w:sz w:val="32"/>
          <w:szCs w:val="32"/>
          <w:lang w:val="en-GB" w:eastAsia="sv-SE"/>
        </w:rPr>
        <w:lastRenderedPageBreak/>
        <w:t>3.3 Consortia</w:t>
      </w:r>
    </w:p>
    <w:p w14:paraId="055C0F04" w14:textId="77777777" w:rsidR="00D37109" w:rsidRPr="00D37109" w:rsidRDefault="00D37109" w:rsidP="00D37109">
      <w:pPr>
        <w:pBdr>
          <w:bottom w:val="single" w:sz="4" w:space="1" w:color="auto"/>
        </w:pBdr>
        <w:autoSpaceDE w:val="0"/>
        <w:autoSpaceDN w:val="0"/>
        <w:adjustRightInd w:val="0"/>
        <w:rPr>
          <w:rFonts w:asciiTheme="minorHAnsi" w:eastAsia="Times New Roman" w:hAnsiTheme="minorHAnsi" w:cs="Calibri"/>
          <w:color w:val="000000"/>
          <w:szCs w:val="24"/>
          <w:lang w:val="en-GB" w:eastAsia="sv-SE"/>
        </w:rPr>
      </w:pPr>
      <w:r w:rsidRPr="00D37109">
        <w:rPr>
          <w:rFonts w:asciiTheme="minorHAnsi" w:eastAsia="Times New Roman" w:hAnsiTheme="minorHAnsi" w:cs="Calibri"/>
          <w:color w:val="000000"/>
          <w:szCs w:val="24"/>
          <w:lang w:val="en-GB" w:eastAsia="sv-SE"/>
        </w:rPr>
        <w:t>Joint bidding refers to the situation that the tenderer is not an individual legal or natural person who invokes the capacity of other companies, but that several legal or natural persons within the framework of a so-called consortium submit a tender. It is permitted to submit tenders through a consortium in this procurement.</w:t>
      </w:r>
    </w:p>
    <w:p w14:paraId="432F7B96" w14:textId="541D2779" w:rsidR="00D37109" w:rsidRPr="00D37109" w:rsidRDefault="00D37109" w:rsidP="00D37109">
      <w:pPr>
        <w:pBdr>
          <w:bottom w:val="single" w:sz="4" w:space="1" w:color="auto"/>
        </w:pBdr>
        <w:autoSpaceDE w:val="0"/>
        <w:autoSpaceDN w:val="0"/>
        <w:adjustRightInd w:val="0"/>
        <w:rPr>
          <w:rFonts w:asciiTheme="minorHAnsi" w:eastAsia="Times New Roman" w:hAnsiTheme="minorHAnsi" w:cs="Calibri"/>
          <w:i/>
          <w:iCs/>
          <w:color w:val="000000"/>
          <w:szCs w:val="24"/>
          <w:lang w:val="en-GB" w:eastAsia="sv-SE"/>
        </w:rPr>
      </w:pPr>
      <w:r w:rsidRPr="00D37109">
        <w:rPr>
          <w:rFonts w:asciiTheme="minorHAnsi" w:eastAsia="Times New Roman" w:hAnsiTheme="minorHAnsi" w:cs="Calibri"/>
          <w:color w:val="000000"/>
          <w:szCs w:val="24"/>
          <w:lang w:val="en-GB" w:eastAsia="sv-SE"/>
        </w:rPr>
        <w:t xml:space="preserve">Tenderers who intend to submit tenders in a consortium must submit in the tender a special declaration regarding all requirements set out in the section "Exclusion grounds" in this procurement document </w:t>
      </w:r>
      <w:r w:rsidR="00EC3547">
        <w:rPr>
          <w:rFonts w:asciiTheme="minorHAnsi" w:eastAsia="Times New Roman" w:hAnsiTheme="minorHAnsi" w:cs="Calibri"/>
          <w:color w:val="000000"/>
          <w:szCs w:val="24"/>
          <w:lang w:val="en-GB" w:eastAsia="sv-SE"/>
        </w:rPr>
        <w:t xml:space="preserve">(Self declaration) </w:t>
      </w:r>
      <w:r w:rsidRPr="00D37109">
        <w:rPr>
          <w:rFonts w:asciiTheme="minorHAnsi" w:eastAsia="Times New Roman" w:hAnsiTheme="minorHAnsi" w:cs="Calibri"/>
          <w:color w:val="000000"/>
          <w:szCs w:val="24"/>
          <w:lang w:val="en-GB" w:eastAsia="sv-SE"/>
        </w:rPr>
        <w:t>for each of the companies participating in the consortium. The qualification requirements must be met in full by the consortium.</w:t>
      </w:r>
    </w:p>
    <w:p w14:paraId="464FFEA4" w14:textId="5F0D985D" w:rsidR="00D37109" w:rsidRPr="00D37109" w:rsidRDefault="00D37109" w:rsidP="00D37109">
      <w:pPr>
        <w:pBdr>
          <w:bottom w:val="single" w:sz="4" w:space="1" w:color="auto"/>
        </w:pBdr>
        <w:autoSpaceDE w:val="0"/>
        <w:autoSpaceDN w:val="0"/>
        <w:adjustRightInd w:val="0"/>
        <w:rPr>
          <w:rFonts w:asciiTheme="minorHAnsi" w:eastAsia="Times New Roman" w:hAnsiTheme="minorHAnsi" w:cs="Calibri"/>
          <w:color w:val="000000"/>
          <w:szCs w:val="24"/>
          <w:lang w:val="en-GB" w:eastAsia="sv-SE"/>
        </w:rPr>
      </w:pPr>
      <w:r w:rsidRPr="00D37109">
        <w:rPr>
          <w:rFonts w:asciiTheme="minorHAnsi" w:eastAsia="Times New Roman" w:hAnsiTheme="minorHAnsi" w:cs="Calibri"/>
          <w:color w:val="000000"/>
          <w:szCs w:val="24"/>
          <w:lang w:val="en-GB" w:eastAsia="sv-SE"/>
        </w:rPr>
        <w:t xml:space="preserve">The tenderer who submits a tender in a consortium shall, at the request of </w:t>
      </w:r>
      <w:r>
        <w:rPr>
          <w:rFonts w:asciiTheme="minorHAnsi" w:eastAsia="Times New Roman" w:hAnsiTheme="minorHAnsi" w:cs="Calibri"/>
          <w:color w:val="000000"/>
          <w:szCs w:val="24"/>
          <w:lang w:val="en-GB" w:eastAsia="sv-SE"/>
        </w:rPr>
        <w:t>the Embassy</w:t>
      </w:r>
      <w:r w:rsidRPr="00D37109">
        <w:rPr>
          <w:rFonts w:asciiTheme="minorHAnsi" w:eastAsia="Times New Roman" w:hAnsiTheme="minorHAnsi" w:cs="Calibri"/>
          <w:color w:val="000000"/>
          <w:szCs w:val="24"/>
          <w:lang w:val="en-GB" w:eastAsia="sv-SE"/>
        </w:rPr>
        <w:t>, submit a copy of the consortium agreement signed by all consortium parties.</w:t>
      </w:r>
    </w:p>
    <w:p w14:paraId="38053660" w14:textId="2C1749FB" w:rsidR="00D37109" w:rsidRDefault="00D37109" w:rsidP="00D37109">
      <w:pPr>
        <w:pBdr>
          <w:bottom w:val="single" w:sz="4" w:space="1" w:color="auto"/>
        </w:pBdr>
        <w:autoSpaceDE w:val="0"/>
        <w:autoSpaceDN w:val="0"/>
        <w:adjustRightInd w:val="0"/>
        <w:rPr>
          <w:rFonts w:asciiTheme="minorHAnsi" w:eastAsia="Times New Roman" w:hAnsiTheme="minorHAnsi" w:cs="Calibri"/>
          <w:color w:val="000000"/>
          <w:szCs w:val="24"/>
          <w:lang w:val="en-GB" w:eastAsia="sv-SE"/>
        </w:rPr>
      </w:pPr>
      <w:r w:rsidRPr="00D37109">
        <w:rPr>
          <w:rFonts w:asciiTheme="minorHAnsi" w:eastAsia="Times New Roman" w:hAnsiTheme="minorHAnsi" w:cs="Calibri"/>
          <w:color w:val="000000"/>
          <w:szCs w:val="24"/>
          <w:lang w:val="en-GB" w:eastAsia="sv-SE"/>
        </w:rPr>
        <w:t>The tenderer must without delay and on request submit documentation in accordance with the section "Qualification of tenderers" in this procurement document which proves that the above requirement is met.</w:t>
      </w:r>
    </w:p>
    <w:p w14:paraId="147DDE6E" w14:textId="77777777" w:rsidR="004F6468" w:rsidRDefault="004F6468" w:rsidP="00D37109">
      <w:pPr>
        <w:pBdr>
          <w:bottom w:val="single" w:sz="4" w:space="1" w:color="auto"/>
        </w:pBdr>
        <w:autoSpaceDE w:val="0"/>
        <w:autoSpaceDN w:val="0"/>
        <w:adjustRightInd w:val="0"/>
        <w:rPr>
          <w:rFonts w:asciiTheme="minorHAnsi" w:eastAsia="Times New Roman" w:hAnsiTheme="minorHAnsi" w:cs="Calibri"/>
          <w:color w:val="000000"/>
          <w:szCs w:val="24"/>
          <w:lang w:val="en-GB" w:eastAsia="sv-SE"/>
        </w:rPr>
      </w:pPr>
    </w:p>
    <w:p w14:paraId="67FD7039" w14:textId="6A1EC9C8" w:rsidR="002D3B73" w:rsidRPr="00120C9F" w:rsidRDefault="002D3B73" w:rsidP="00120C9F">
      <w:pPr>
        <w:pStyle w:val="Heading2"/>
      </w:pPr>
      <w:r w:rsidRPr="00120C9F">
        <w:t>3.</w:t>
      </w:r>
      <w:r w:rsidR="007359A0">
        <w:t>4</w:t>
      </w:r>
      <w:r w:rsidRPr="00120C9F">
        <w:t xml:space="preserve">. Qualification of tenderers </w:t>
      </w:r>
    </w:p>
    <w:p w14:paraId="50B1519A" w14:textId="4AAE7DA4" w:rsidR="00810152" w:rsidRPr="00810152" w:rsidRDefault="00810152" w:rsidP="00810152">
      <w:pPr>
        <w:rPr>
          <w:lang w:val="en-GB" w:bidi="en-GB"/>
        </w:rPr>
      </w:pPr>
      <w:r w:rsidRPr="00810152">
        <w:rPr>
          <w:lang w:val="en-GB" w:bidi="en-GB"/>
        </w:rPr>
        <w:t xml:space="preserve">Whenever it is deemed necessary for the further processing of the tender, </w:t>
      </w:r>
      <w:r>
        <w:rPr>
          <w:lang w:val="en-GB" w:bidi="en-GB"/>
        </w:rPr>
        <w:t>the Embassy</w:t>
      </w:r>
      <w:r w:rsidRPr="00810152">
        <w:rPr>
          <w:lang w:val="en-GB" w:bidi="en-GB"/>
        </w:rPr>
        <w:t xml:space="preserve"> may request information or evidence to verify fulfilment of the requirements set forth in the section “Requirements for tenderers”. This information/evidence is referred to as “supplementary documents”.</w:t>
      </w:r>
    </w:p>
    <w:p w14:paraId="3D945F5B" w14:textId="3B8BEF8E" w:rsidR="00810152" w:rsidRPr="00810152" w:rsidRDefault="00810152" w:rsidP="00810152">
      <w:pPr>
        <w:rPr>
          <w:lang w:val="en-GB" w:bidi="en-GB"/>
        </w:rPr>
      </w:pPr>
      <w:r>
        <w:rPr>
          <w:lang w:val="en-GB" w:bidi="en-GB"/>
        </w:rPr>
        <w:t>The Embassy</w:t>
      </w:r>
      <w:r w:rsidRPr="00810152">
        <w:rPr>
          <w:lang w:val="en-GB" w:bidi="en-GB"/>
        </w:rPr>
        <w:t xml:space="preserve"> will request the supplementary documents listed below (information/evidence) of </w:t>
      </w:r>
      <w:r>
        <w:rPr>
          <w:lang w:val="en-GB" w:bidi="en-GB"/>
        </w:rPr>
        <w:t>the</w:t>
      </w:r>
      <w:r w:rsidRPr="00810152">
        <w:rPr>
          <w:lang w:val="en-GB" w:bidi="en-GB"/>
        </w:rPr>
        <w:t xml:space="preserve"> tenderer</w:t>
      </w:r>
      <w:r>
        <w:rPr>
          <w:lang w:val="en-GB" w:bidi="en-GB"/>
        </w:rPr>
        <w:t>(</w:t>
      </w:r>
      <w:r w:rsidRPr="00810152">
        <w:rPr>
          <w:lang w:val="en-GB" w:bidi="en-GB"/>
        </w:rPr>
        <w:t>s</w:t>
      </w:r>
      <w:r>
        <w:rPr>
          <w:lang w:val="en-GB" w:bidi="en-GB"/>
        </w:rPr>
        <w:t>)</w:t>
      </w:r>
      <w:r w:rsidRPr="00810152">
        <w:rPr>
          <w:lang w:val="en-GB" w:bidi="en-GB"/>
        </w:rPr>
        <w:t xml:space="preserve"> to whom </w:t>
      </w:r>
      <w:r>
        <w:rPr>
          <w:lang w:val="en-GB" w:bidi="en-GB"/>
        </w:rPr>
        <w:t>the Embassy</w:t>
      </w:r>
      <w:r w:rsidRPr="00810152">
        <w:rPr>
          <w:lang w:val="en-GB" w:bidi="en-GB"/>
        </w:rPr>
        <w:t xml:space="preserve"> intends to award</w:t>
      </w:r>
      <w:r>
        <w:rPr>
          <w:lang w:val="en-GB" w:bidi="en-GB"/>
        </w:rPr>
        <w:t xml:space="preserve"> a</w:t>
      </w:r>
      <w:r w:rsidRPr="00810152">
        <w:rPr>
          <w:lang w:val="en-GB" w:bidi="en-GB"/>
        </w:rPr>
        <w:t xml:space="preserve"> framework agreement.</w:t>
      </w:r>
    </w:p>
    <w:p w14:paraId="26147506" w14:textId="77777777" w:rsidR="00810152" w:rsidRPr="00810152" w:rsidRDefault="00810152" w:rsidP="00810152">
      <w:pPr>
        <w:rPr>
          <w:lang w:val="en-GB" w:bidi="en-GB"/>
        </w:rPr>
      </w:pPr>
      <w:r w:rsidRPr="00810152">
        <w:rPr>
          <w:lang w:val="en-GB" w:bidi="en-GB"/>
        </w:rPr>
        <w:t>1. Evidence that the tenderer and any subcontractors on which the tenderer relies or consortium parties are not to be excluded according to Chapter 13, Section 1 of the LOU (i.e. section “A: Grounds relating to criminal convictions” in this procurement document) shall primarily consist of an “extract from a criminal records database,” or else an “equivalent document issued by a competent government authority”. If neither of these forms of evidence can be provided, the tenderer may submit a “declaration of honour before an authorised body, or a similar declaration”.</w:t>
      </w:r>
    </w:p>
    <w:p w14:paraId="40ECABB1" w14:textId="77777777" w:rsidR="00810152" w:rsidRPr="00810152" w:rsidRDefault="00810152" w:rsidP="00810152">
      <w:pPr>
        <w:rPr>
          <w:lang w:val="en-GB" w:bidi="en-GB"/>
        </w:rPr>
      </w:pPr>
      <w:r w:rsidRPr="00810152">
        <w:rPr>
          <w:lang w:val="en-GB" w:bidi="en-GB"/>
        </w:rPr>
        <w:t xml:space="preserve">Under the current rules, the types of extracts from the criminal register that can be issued in Sweden are not such extracts from the criminal record databases as are referred to in the requirements of the law. There is also no competent government authority in Sweden that issues equivalent documents. The first and second evidence options are thus excluded for Swedish tenderers. The only option that remains is that a representative of the Swedish tenderer submit a declaration of honour. Examples of such declarations are available in </w:t>
      </w:r>
      <w:r w:rsidRPr="00E8753E">
        <w:rPr>
          <w:i/>
          <w:iCs/>
          <w:lang w:val="en-GB" w:bidi="en-GB"/>
        </w:rPr>
        <w:t>Attachment [insert number] - Declarations of honour.</w:t>
      </w:r>
    </w:p>
    <w:p w14:paraId="18416A4E" w14:textId="77777777" w:rsidR="00810152" w:rsidRPr="00810152" w:rsidRDefault="00810152" w:rsidP="00810152">
      <w:pPr>
        <w:rPr>
          <w:lang w:val="en-GB" w:bidi="en-GB"/>
        </w:rPr>
      </w:pPr>
      <w:r w:rsidRPr="00810152">
        <w:rPr>
          <w:lang w:val="en-GB" w:bidi="en-GB"/>
        </w:rPr>
        <w:t>2. Documentation issued by a competent government authority attesting to compliance with respect to the payment of taxes and social security contributions in the home country of the tenderer and of any subcontractors on which the tenderer relies or consortium parties.</w:t>
      </w:r>
    </w:p>
    <w:p w14:paraId="796D89A0" w14:textId="77777777" w:rsidR="00E8753E" w:rsidRPr="00810152" w:rsidRDefault="00810152" w:rsidP="00E8753E">
      <w:pPr>
        <w:rPr>
          <w:lang w:val="en-GB" w:bidi="en-GB"/>
        </w:rPr>
      </w:pPr>
      <w:r w:rsidRPr="00810152">
        <w:rPr>
          <w:lang w:val="en-GB" w:bidi="en-GB"/>
        </w:rPr>
        <w:t xml:space="preserve">3. Documentation issued by a competent government authority in the country in question supporting the claim that the tenderer and any subcontractors on which the tenderer relies or </w:t>
      </w:r>
      <w:r w:rsidRPr="00810152">
        <w:rPr>
          <w:lang w:val="en-GB" w:bidi="en-GB"/>
        </w:rPr>
        <w:lastRenderedPageBreak/>
        <w:t>consortium parties are not bankrupt, in company reconstruction, in liquidation or equivalent</w:t>
      </w:r>
      <w:r>
        <w:rPr>
          <w:lang w:val="en-GB" w:bidi="en-GB"/>
        </w:rPr>
        <w:t>.</w:t>
      </w:r>
      <w:r w:rsidR="00E8753E">
        <w:rPr>
          <w:lang w:val="en-GB" w:bidi="en-GB"/>
        </w:rPr>
        <w:t xml:space="preserve"> </w:t>
      </w:r>
      <w:r w:rsidR="00E8753E" w:rsidRPr="00810152">
        <w:rPr>
          <w:lang w:val="en-GB" w:bidi="en-GB"/>
        </w:rPr>
        <w:t xml:space="preserve">Examples of such declarations are available in </w:t>
      </w:r>
      <w:r w:rsidR="00E8753E" w:rsidRPr="00E8753E">
        <w:rPr>
          <w:i/>
          <w:iCs/>
          <w:lang w:val="en-GB" w:bidi="en-GB"/>
        </w:rPr>
        <w:t>Attachment [insert number] - Declarations of honour.</w:t>
      </w:r>
    </w:p>
    <w:p w14:paraId="2DCDA550" w14:textId="4C8100E8" w:rsidR="00810152" w:rsidRPr="00810152" w:rsidRDefault="00810152" w:rsidP="00810152">
      <w:pPr>
        <w:rPr>
          <w:lang w:val="en-GB" w:bidi="en-GB"/>
        </w:rPr>
      </w:pPr>
      <w:r w:rsidRPr="00810152">
        <w:rPr>
          <w:lang w:val="en-GB" w:bidi="en-GB"/>
        </w:rPr>
        <w:t xml:space="preserve">4. A declaration of honour as proof that the tenderer and any subcontractors on which the tenderer relies or consortium parties have not entered into a voluntary arrangement with creditors, that their assets are not being administered by a liquidator or a court, or that they have not suspended their business activities. Examples of such declarations are available in </w:t>
      </w:r>
      <w:r w:rsidRPr="00E8753E">
        <w:rPr>
          <w:i/>
          <w:iCs/>
          <w:lang w:val="en-GB" w:bidi="en-GB"/>
        </w:rPr>
        <w:t>Attachment [insert number] - Declarations of honour.</w:t>
      </w:r>
    </w:p>
    <w:p w14:paraId="04949960" w14:textId="77777777" w:rsidR="00810152" w:rsidRPr="00810152" w:rsidRDefault="00810152" w:rsidP="00810152">
      <w:pPr>
        <w:rPr>
          <w:lang w:val="en-GB" w:bidi="en-GB"/>
        </w:rPr>
      </w:pPr>
      <w:r w:rsidRPr="00810152">
        <w:rPr>
          <w:lang w:val="en-GB" w:bidi="en-GB"/>
        </w:rPr>
        <w:t>5. Documentation attesting to compliance with respect to registration in a register that is equivalent to the Swedish Register of Companies or trade register, or a similar register.</w:t>
      </w:r>
    </w:p>
    <w:p w14:paraId="6B470ADA" w14:textId="77777777" w:rsidR="00810152" w:rsidRPr="00810152" w:rsidRDefault="00810152" w:rsidP="00810152">
      <w:pPr>
        <w:rPr>
          <w:lang w:val="en-GB" w:bidi="en-GB"/>
        </w:rPr>
      </w:pPr>
      <w:r w:rsidRPr="00810152">
        <w:rPr>
          <w:lang w:val="en-GB" w:bidi="en-GB"/>
        </w:rPr>
        <w:t>6. Alternative proof of economic and financial position, in accordance with the section “Financial ratio”.</w:t>
      </w:r>
    </w:p>
    <w:p w14:paraId="62417633" w14:textId="77777777" w:rsidR="00810152" w:rsidRPr="00810152" w:rsidRDefault="00810152" w:rsidP="00810152">
      <w:pPr>
        <w:rPr>
          <w:lang w:val="en-GB" w:bidi="en-GB"/>
        </w:rPr>
      </w:pPr>
      <w:r w:rsidRPr="00810152">
        <w:rPr>
          <w:lang w:val="en-GB" w:bidi="en-GB"/>
        </w:rPr>
        <w:t>7. Reference assignments.</w:t>
      </w:r>
    </w:p>
    <w:p w14:paraId="147C1363" w14:textId="377A18A9" w:rsidR="00810152" w:rsidRPr="00810152" w:rsidRDefault="00E8753E" w:rsidP="00810152">
      <w:pPr>
        <w:rPr>
          <w:lang w:val="en-GB" w:bidi="en-GB"/>
        </w:rPr>
      </w:pPr>
      <w:r>
        <w:rPr>
          <w:lang w:val="en-GB" w:bidi="en-GB"/>
        </w:rPr>
        <w:t>8</w:t>
      </w:r>
      <w:r w:rsidR="00810152" w:rsidRPr="00810152">
        <w:rPr>
          <w:lang w:val="en-GB" w:bidi="en-GB"/>
        </w:rPr>
        <w:t>. Commitment in the form of a parent company guarantee, cooperation agreements, or equivalent from all subcontractors on which the tenderer relies.</w:t>
      </w:r>
    </w:p>
    <w:p w14:paraId="65AD1ED1" w14:textId="3D67DE45" w:rsidR="00810152" w:rsidRPr="00810152" w:rsidRDefault="00E8753E" w:rsidP="00810152">
      <w:pPr>
        <w:rPr>
          <w:lang w:val="en-GB" w:bidi="en-GB"/>
        </w:rPr>
      </w:pPr>
      <w:r>
        <w:rPr>
          <w:lang w:val="en-GB" w:bidi="en-GB"/>
        </w:rPr>
        <w:t>9</w:t>
      </w:r>
      <w:r w:rsidR="00810152" w:rsidRPr="00810152">
        <w:rPr>
          <w:lang w:val="en-GB" w:bidi="en-GB"/>
        </w:rPr>
        <w:t>. A copy of a consortium agreement, signed by all consortium parties.</w:t>
      </w:r>
    </w:p>
    <w:p w14:paraId="12AF6F94" w14:textId="77777777" w:rsidR="00810152" w:rsidRPr="00810152" w:rsidRDefault="00810152" w:rsidP="00810152">
      <w:pPr>
        <w:rPr>
          <w:lang w:val="en-GB" w:bidi="en-GB"/>
        </w:rPr>
      </w:pPr>
      <w:r w:rsidRPr="00810152">
        <w:rPr>
          <w:lang w:val="en-GB" w:bidi="en-GB"/>
        </w:rPr>
        <w:t xml:space="preserve">The supplementary documents (information/evidence) verifying fulfilment of the requirements set forth in the section “Exclusion grounds”, i.e. p. 1–4 above, may not be more than </w:t>
      </w:r>
      <w:r w:rsidRPr="00E8753E">
        <w:rPr>
          <w:b/>
          <w:bCs/>
          <w:lang w:val="en-GB" w:bidi="en-GB"/>
        </w:rPr>
        <w:t>three months old</w:t>
      </w:r>
      <w:r w:rsidRPr="00810152">
        <w:rPr>
          <w:lang w:val="en-GB" w:bidi="en-GB"/>
        </w:rPr>
        <w:t>, as calculated from the closing date for tenders.</w:t>
      </w:r>
    </w:p>
    <w:p w14:paraId="28E6DD05" w14:textId="77777777" w:rsidR="00810152" w:rsidRPr="00E8753E" w:rsidRDefault="00810152" w:rsidP="00810152">
      <w:pPr>
        <w:rPr>
          <w:b/>
          <w:bCs/>
          <w:lang w:val="en-GB" w:bidi="en-GB"/>
        </w:rPr>
      </w:pPr>
      <w:r w:rsidRPr="00E8753E">
        <w:rPr>
          <w:b/>
          <w:bCs/>
          <w:lang w:val="en-GB" w:bidi="en-GB"/>
        </w:rPr>
        <w:t>The following applies to all the above-mentioned documents:</w:t>
      </w:r>
    </w:p>
    <w:p w14:paraId="63EBA7B4" w14:textId="77777777" w:rsidR="00810152" w:rsidRPr="00810152" w:rsidRDefault="00810152" w:rsidP="00810152">
      <w:pPr>
        <w:rPr>
          <w:lang w:val="en-GB" w:bidi="en-GB"/>
        </w:rPr>
      </w:pPr>
      <w:r w:rsidRPr="00810152">
        <w:rPr>
          <w:lang w:val="en-GB" w:bidi="en-GB"/>
        </w:rPr>
        <w:t>The tenderer is recommended to have the documentation at hand since this information is to be submitted without delay.</w:t>
      </w:r>
    </w:p>
    <w:p w14:paraId="6BC5915C" w14:textId="77777777" w:rsidR="00810152" w:rsidRPr="00810152" w:rsidRDefault="00810152" w:rsidP="00810152">
      <w:pPr>
        <w:rPr>
          <w:lang w:val="en-GB" w:bidi="en-GB"/>
        </w:rPr>
      </w:pPr>
      <w:r w:rsidRPr="00810152">
        <w:rPr>
          <w:lang w:val="en-GB" w:bidi="en-GB"/>
        </w:rPr>
        <w:t>If the tenderer submits information/evidence in a language other than Swedish or English, the tenderer must submit on request a translation of the original document in Swedish or English.</w:t>
      </w:r>
    </w:p>
    <w:p w14:paraId="12BFD977" w14:textId="77777777" w:rsidR="00810152" w:rsidRPr="00810152" w:rsidRDefault="00810152" w:rsidP="00810152">
      <w:pPr>
        <w:rPr>
          <w:lang w:val="en-GB" w:bidi="en-GB"/>
        </w:rPr>
      </w:pPr>
      <w:r w:rsidRPr="00810152">
        <w:rPr>
          <w:lang w:val="en-GB" w:bidi="en-GB"/>
        </w:rPr>
        <w:t>If the tenderer cannot submit information/evidence in accordance with the above, an explanation must be attached to this. If the explanation is considered insufficient by Sida, this could mean that the tenderer will be excluded from the procurement, which may have consequences for the tender as a whole.</w:t>
      </w:r>
    </w:p>
    <w:p w14:paraId="35739956" w14:textId="764CD630" w:rsidR="00D653A9" w:rsidRPr="00BB1691" w:rsidRDefault="00810152" w:rsidP="00810152">
      <w:pPr>
        <w:rPr>
          <w:rFonts w:asciiTheme="minorHAnsi" w:eastAsia="Times New Roman" w:hAnsiTheme="minorHAnsi" w:cs="Calibri"/>
          <w:lang w:val="en-GB" w:eastAsia="sv-SE"/>
        </w:rPr>
      </w:pPr>
      <w:r w:rsidRPr="00810152">
        <w:rPr>
          <w:lang w:val="en-GB" w:bidi="en-GB"/>
        </w:rPr>
        <w:t xml:space="preserve">A tenderer is under no obligation to submit supplementary documents if </w:t>
      </w:r>
      <w:r w:rsidR="00E8753E">
        <w:rPr>
          <w:lang w:val="en-GB" w:bidi="en-GB"/>
        </w:rPr>
        <w:t>the Embassy</w:t>
      </w:r>
      <w:r w:rsidRPr="00810152">
        <w:rPr>
          <w:lang w:val="en-GB" w:bidi="en-GB"/>
        </w:rPr>
        <w:t xml:space="preserve"> has access to the information or is able to obtain access free of charge to the information by electronic means.</w:t>
      </w:r>
    </w:p>
    <w:p w14:paraId="3E71381C" w14:textId="0D1085AB" w:rsidR="002D3B73" w:rsidRPr="00AE61A8" w:rsidRDefault="002D3B73" w:rsidP="00AE61A8">
      <w:pPr>
        <w:pStyle w:val="Heading2"/>
      </w:pPr>
      <w:r w:rsidRPr="00AE61A8">
        <w:t>3.</w:t>
      </w:r>
      <w:r w:rsidR="00D653A9">
        <w:t>5</w:t>
      </w:r>
      <w:r w:rsidRPr="00AE61A8">
        <w:t>. Consultant conflicts of interest</w:t>
      </w:r>
    </w:p>
    <w:p w14:paraId="600A283B" w14:textId="5D3A9455" w:rsidR="009E1B77" w:rsidRDefault="002D3B73" w:rsidP="001C1222">
      <w:pPr>
        <w:rPr>
          <w:lang w:val="en-GB" w:bidi="en-GB"/>
        </w:rPr>
      </w:pPr>
      <w:r>
        <w:rPr>
          <w:lang w:val="en-GB" w:bidi="en-GB"/>
        </w:rPr>
        <w:t>If the Embassy is using an external consultant for the formulation of this procurement document (or for other preparatory work prior to this procurement) and the consultant also plans to submit a tender in the procurement, improper competitive advantages may arise. A consultant who has been engaged for the formulation of this procurement document or other preparatory work may therefore be excluded from submitting a tender in this part of the procurement. It is irrelevant if the consultant was hired by the Embassy or if the consultant participated as a subconsultant.</w:t>
      </w:r>
    </w:p>
    <w:p w14:paraId="4B77E332" w14:textId="2FB58537" w:rsidR="000373EB" w:rsidRPr="000373EB" w:rsidRDefault="000373EB" w:rsidP="000373EB">
      <w:pPr>
        <w:pStyle w:val="Heading2"/>
      </w:pPr>
      <w:r>
        <w:lastRenderedPageBreak/>
        <w:t>3.6</w:t>
      </w:r>
      <w:r w:rsidRPr="000373EB">
        <w:t>. Exclusion grounds</w:t>
      </w:r>
    </w:p>
    <w:p w14:paraId="5153DE70" w14:textId="77777777" w:rsidR="000373EB" w:rsidRPr="00E56BB1" w:rsidRDefault="000373EB" w:rsidP="000373EB">
      <w:pPr>
        <w:pStyle w:val="Heading4"/>
      </w:pPr>
      <w:r>
        <w:t xml:space="preserve">A. </w:t>
      </w:r>
      <w:r w:rsidRPr="00E56BB1">
        <w:t>GROUNDS RELATING TO CRIMINAL CONVICTIONS</w:t>
      </w:r>
    </w:p>
    <w:p w14:paraId="19895066" w14:textId="77777777" w:rsidR="000373EB" w:rsidRPr="00E84F83" w:rsidRDefault="000373EB" w:rsidP="000373EB">
      <w:pPr>
        <w:rPr>
          <w:lang w:val="en-GB"/>
        </w:rPr>
      </w:pPr>
      <w:r w:rsidRPr="00E84F83">
        <w:rPr>
          <w:lang w:val="en-GB"/>
        </w:rPr>
        <w:t>Article 57(1) of Directive 2014/24/EU sets out the following reasons for exclusion:</w:t>
      </w:r>
    </w:p>
    <w:p w14:paraId="43DE0723" w14:textId="77777777" w:rsidR="000373EB" w:rsidRPr="00E56BB1" w:rsidRDefault="000373EB" w:rsidP="000373EB">
      <w:pPr>
        <w:pStyle w:val="Heading4"/>
      </w:pPr>
      <w:r w:rsidRPr="00E56BB1">
        <w:t xml:space="preserve">A.1. Participation in a criminal </w:t>
      </w:r>
      <w:proofErr w:type="spellStart"/>
      <w:r w:rsidRPr="00E56BB1">
        <w:t>organisation</w:t>
      </w:r>
      <w:proofErr w:type="spellEnd"/>
    </w:p>
    <w:p w14:paraId="37C49864"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0C170388" w14:textId="77777777" w:rsidR="000373EB" w:rsidRPr="00E56BB1" w:rsidRDefault="000373EB" w:rsidP="000373EB">
      <w:pPr>
        <w:spacing w:after="0"/>
        <w:rPr>
          <w:i/>
          <w:iCs/>
          <w:lang w:val="en-GB"/>
        </w:rPr>
      </w:pPr>
      <w:r w:rsidRPr="002D3D3A">
        <w:rPr>
          <w:rStyle w:val="SubtleEmphasis"/>
        </w:rPr>
        <w:t>Only</w:t>
      </w:r>
      <w:r w:rsidRPr="00E56BB1">
        <w:rPr>
          <w:i/>
          <w:iCs/>
          <w:lang w:val="en-GB"/>
        </w:rPr>
        <w:t xml:space="preserve"> if the answer is not "No (Fulfilled)" the tenderer shall complete the comment field with the following information:</w:t>
      </w:r>
    </w:p>
    <w:p w14:paraId="69EF2BA8" w14:textId="77777777" w:rsidR="000373EB" w:rsidRPr="00E56BB1" w:rsidRDefault="000373EB" w:rsidP="000373EB">
      <w:pPr>
        <w:spacing w:after="0"/>
        <w:rPr>
          <w:i/>
          <w:iCs/>
          <w:lang w:val="en-GB"/>
        </w:rPr>
      </w:pPr>
      <w:r w:rsidRPr="00E56BB1">
        <w:rPr>
          <w:i/>
          <w:iCs/>
          <w:lang w:val="en-GB"/>
        </w:rPr>
        <w:t>a) Date for conviction</w:t>
      </w:r>
    </w:p>
    <w:p w14:paraId="176AAF2A" w14:textId="77777777" w:rsidR="000373EB" w:rsidRPr="00E56BB1" w:rsidRDefault="000373EB" w:rsidP="000373EB">
      <w:pPr>
        <w:spacing w:after="0"/>
        <w:rPr>
          <w:i/>
          <w:iCs/>
          <w:lang w:val="en-GB"/>
        </w:rPr>
      </w:pPr>
      <w:r w:rsidRPr="00E56BB1">
        <w:rPr>
          <w:i/>
          <w:iCs/>
          <w:lang w:val="en-GB"/>
        </w:rPr>
        <w:t>b) Reason</w:t>
      </w:r>
    </w:p>
    <w:p w14:paraId="72CE9DA5" w14:textId="77777777" w:rsidR="000373EB" w:rsidRPr="00E56BB1" w:rsidRDefault="000373EB" w:rsidP="000373EB">
      <w:pPr>
        <w:spacing w:after="0"/>
        <w:rPr>
          <w:i/>
          <w:iCs/>
          <w:lang w:val="en-GB"/>
        </w:rPr>
      </w:pPr>
      <w:r w:rsidRPr="00E56BB1">
        <w:rPr>
          <w:i/>
          <w:iCs/>
          <w:lang w:val="en-GB"/>
        </w:rPr>
        <w:t>c) Who has been convicted?</w:t>
      </w:r>
    </w:p>
    <w:p w14:paraId="7B82B667" w14:textId="77777777" w:rsidR="000373EB" w:rsidRPr="00E56BB1" w:rsidRDefault="000373EB" w:rsidP="000373EB">
      <w:pPr>
        <w:spacing w:after="0"/>
        <w:rPr>
          <w:i/>
          <w:iCs/>
          <w:lang w:val="en-GB"/>
        </w:rPr>
      </w:pPr>
      <w:r w:rsidRPr="00E56BB1">
        <w:rPr>
          <w:i/>
          <w:iCs/>
          <w:lang w:val="en-GB"/>
        </w:rPr>
        <w:t>d) Length of the period of exclusion</w:t>
      </w:r>
    </w:p>
    <w:p w14:paraId="609C8A2C" w14:textId="77777777" w:rsidR="000373EB" w:rsidRPr="00E56BB1" w:rsidRDefault="000373EB" w:rsidP="000373EB">
      <w:pPr>
        <w:spacing w:after="0"/>
        <w:rPr>
          <w:i/>
          <w:iCs/>
          <w:lang w:val="en-GB"/>
        </w:rPr>
      </w:pPr>
      <w:r w:rsidRPr="00E56BB1">
        <w:rPr>
          <w:i/>
          <w:iCs/>
          <w:lang w:val="en-GB"/>
        </w:rPr>
        <w:t>e) Have you taken measures to demonstrate your reliability ("Self-Cleaning") (Yes/No)? If "Yes" Please describe them</w:t>
      </w:r>
    </w:p>
    <w:p w14:paraId="706DA474" w14:textId="77777777" w:rsidR="000373EB" w:rsidRPr="00E56BB1" w:rsidRDefault="000373EB" w:rsidP="000373EB">
      <w:pPr>
        <w:spacing w:after="80"/>
        <w:rPr>
          <w:i/>
          <w:iCs/>
          <w:lang w:val="en-GB"/>
        </w:rPr>
      </w:pPr>
      <w:r w:rsidRPr="00E56BB1">
        <w:rPr>
          <w:i/>
          <w:iCs/>
          <w:lang w:val="en-GB"/>
        </w:rPr>
        <w:t>f) Is this information available electronically? If "Yes" provide URL, Reference/Code and Issuer</w:t>
      </w:r>
    </w:p>
    <w:p w14:paraId="6B9EA6E0" w14:textId="77777777" w:rsidR="000373EB" w:rsidRPr="00A82859" w:rsidRDefault="000373EB" w:rsidP="000373EB">
      <w:pPr>
        <w:pStyle w:val="Heading5"/>
      </w:pPr>
      <w:r w:rsidRPr="00A82859">
        <w:t>A.2. Corruption</w:t>
      </w:r>
    </w:p>
    <w:p w14:paraId="4074C893"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5B3F8A24" w14:textId="77777777" w:rsidR="000373EB" w:rsidRPr="00E84F83" w:rsidRDefault="000373EB" w:rsidP="000373EB">
      <w:pPr>
        <w:spacing w:after="0"/>
        <w:rPr>
          <w:i/>
          <w:iCs/>
          <w:lang w:val="en-GB"/>
        </w:rPr>
      </w:pPr>
      <w:r w:rsidRPr="00E84F83">
        <w:rPr>
          <w:i/>
          <w:iCs/>
          <w:lang w:val="en-GB"/>
        </w:rPr>
        <w:t xml:space="preserve">Only if </w:t>
      </w:r>
      <w:r>
        <w:rPr>
          <w:i/>
          <w:iCs/>
          <w:lang w:val="en-GB"/>
        </w:rPr>
        <w:t>the</w:t>
      </w:r>
      <w:r w:rsidRPr="00E84F83">
        <w:rPr>
          <w:i/>
          <w:iCs/>
          <w:lang w:val="en-GB"/>
        </w:rPr>
        <w:t xml:space="preserve"> answer is not "No (Fulfilled)" the tenderer shall complete the comment field with the following information:</w:t>
      </w:r>
    </w:p>
    <w:p w14:paraId="2FA35FA5" w14:textId="77777777" w:rsidR="000373EB" w:rsidRPr="00E84F83" w:rsidRDefault="000373EB" w:rsidP="000373EB">
      <w:pPr>
        <w:spacing w:after="0"/>
        <w:rPr>
          <w:i/>
          <w:iCs/>
          <w:lang w:val="en-GB"/>
        </w:rPr>
      </w:pPr>
      <w:r w:rsidRPr="00E84F83">
        <w:rPr>
          <w:i/>
          <w:iCs/>
          <w:lang w:val="en-GB"/>
        </w:rPr>
        <w:t>a) Date for conviction</w:t>
      </w:r>
    </w:p>
    <w:p w14:paraId="29990B3E" w14:textId="77777777" w:rsidR="000373EB" w:rsidRPr="00E84F83" w:rsidRDefault="000373EB" w:rsidP="000373EB">
      <w:pPr>
        <w:spacing w:after="0"/>
        <w:rPr>
          <w:i/>
          <w:iCs/>
          <w:lang w:val="en-GB"/>
        </w:rPr>
      </w:pPr>
      <w:r w:rsidRPr="00E84F83">
        <w:rPr>
          <w:i/>
          <w:iCs/>
          <w:lang w:val="en-GB"/>
        </w:rPr>
        <w:t>b) Reason</w:t>
      </w:r>
    </w:p>
    <w:p w14:paraId="6F511C3E" w14:textId="77777777" w:rsidR="000373EB" w:rsidRPr="00E84F83" w:rsidRDefault="000373EB" w:rsidP="000373EB">
      <w:pPr>
        <w:spacing w:after="0"/>
        <w:rPr>
          <w:i/>
          <w:iCs/>
          <w:lang w:val="en-GB"/>
        </w:rPr>
      </w:pPr>
      <w:r w:rsidRPr="00E84F83">
        <w:rPr>
          <w:i/>
          <w:iCs/>
          <w:lang w:val="en-GB"/>
        </w:rPr>
        <w:t>c) Who has been convicted?</w:t>
      </w:r>
    </w:p>
    <w:p w14:paraId="15B564BF" w14:textId="77777777" w:rsidR="000373EB" w:rsidRPr="00E84F83" w:rsidRDefault="000373EB" w:rsidP="000373EB">
      <w:pPr>
        <w:spacing w:after="0"/>
        <w:rPr>
          <w:i/>
          <w:iCs/>
          <w:lang w:val="en-GB"/>
        </w:rPr>
      </w:pPr>
      <w:r w:rsidRPr="00E84F83">
        <w:rPr>
          <w:i/>
          <w:iCs/>
          <w:lang w:val="en-GB"/>
        </w:rPr>
        <w:t>d) Length of the period of exclusion</w:t>
      </w:r>
    </w:p>
    <w:p w14:paraId="6AE6AE5A" w14:textId="77777777" w:rsidR="000373EB" w:rsidRPr="00E84F83" w:rsidRDefault="000373EB" w:rsidP="000373EB">
      <w:pPr>
        <w:spacing w:after="0"/>
        <w:rPr>
          <w:i/>
          <w:iCs/>
          <w:lang w:val="en-GB"/>
        </w:rPr>
      </w:pPr>
      <w:r w:rsidRPr="00E84F83">
        <w:rPr>
          <w:i/>
          <w:iCs/>
          <w:lang w:val="en-GB"/>
        </w:rPr>
        <w:t>e) Have you taken measures to demonstrate your reliability ("Self-Cleaning") (Yes/No)? If "Yes" Please describe them</w:t>
      </w:r>
    </w:p>
    <w:p w14:paraId="2EBBB107" w14:textId="77777777" w:rsidR="000373EB" w:rsidRDefault="000373EB" w:rsidP="000373EB">
      <w:pPr>
        <w:rPr>
          <w:i/>
          <w:iCs/>
          <w:lang w:val="en-GB"/>
        </w:rPr>
      </w:pPr>
      <w:r w:rsidRPr="00E84F83">
        <w:rPr>
          <w:i/>
          <w:iCs/>
          <w:lang w:val="en-GB"/>
        </w:rPr>
        <w:t>f) Is this information available electronically? If "Yes" provide</w:t>
      </w:r>
      <w:r>
        <w:rPr>
          <w:i/>
          <w:iCs/>
          <w:lang w:val="en-GB"/>
        </w:rPr>
        <w:t xml:space="preserve"> URL, Reference/Code and Issuer</w:t>
      </w:r>
    </w:p>
    <w:p w14:paraId="0D353E66" w14:textId="77777777" w:rsidR="000373EB" w:rsidRPr="00A82859" w:rsidRDefault="000373EB" w:rsidP="000373EB">
      <w:pPr>
        <w:pStyle w:val="Heading5"/>
      </w:pPr>
      <w:r w:rsidRPr="00A82859">
        <w:t>A.3. Fraud</w:t>
      </w:r>
    </w:p>
    <w:p w14:paraId="4EA775CB" w14:textId="77777777" w:rsidR="000373EB" w:rsidRPr="00E84F83" w:rsidRDefault="000373EB" w:rsidP="000373EB">
      <w:pPr>
        <w:rPr>
          <w:lang w:val="en-GB"/>
        </w:rPr>
      </w:pPr>
      <w:r w:rsidRPr="00E84F83">
        <w:rPr>
          <w:lang w:val="en-GB"/>
        </w:rPr>
        <w:t xml:space="preserve">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w:t>
      </w:r>
      <w:r w:rsidRPr="00E84F83">
        <w:rPr>
          <w:lang w:val="en-GB"/>
        </w:rPr>
        <w:lastRenderedPageBreak/>
        <w:t>be applicable? Within the meaning of Article 1 of the Convention on the protection of the European Communities' financial interests (OJ C 316, 27.11.1995, p. 48).</w:t>
      </w:r>
    </w:p>
    <w:p w14:paraId="095EC311" w14:textId="77777777" w:rsidR="000373EB" w:rsidRPr="004C0C0E" w:rsidRDefault="000373EB" w:rsidP="000373EB">
      <w:pPr>
        <w:spacing w:after="0"/>
        <w:rPr>
          <w:i/>
          <w:iCs/>
          <w:lang w:val="en-GB"/>
        </w:rPr>
      </w:pPr>
      <w:r w:rsidRPr="004C0C0E">
        <w:rPr>
          <w:i/>
          <w:iCs/>
          <w:lang w:val="en-GB"/>
        </w:rPr>
        <w:t>Only if the answer is not "No (Fulfilled)" the tenderer shall complete the comment field with the following information:</w:t>
      </w:r>
    </w:p>
    <w:p w14:paraId="136E203F" w14:textId="77777777" w:rsidR="000373EB" w:rsidRPr="004C0C0E" w:rsidRDefault="000373EB" w:rsidP="000373EB">
      <w:pPr>
        <w:spacing w:after="0"/>
        <w:rPr>
          <w:i/>
          <w:iCs/>
          <w:lang w:val="en-GB"/>
        </w:rPr>
      </w:pPr>
      <w:r w:rsidRPr="004C0C0E">
        <w:rPr>
          <w:i/>
          <w:iCs/>
          <w:lang w:val="en-GB"/>
        </w:rPr>
        <w:t>a) Date for conviction</w:t>
      </w:r>
    </w:p>
    <w:p w14:paraId="02D7C5CA" w14:textId="77777777" w:rsidR="000373EB" w:rsidRPr="004C0C0E" w:rsidRDefault="000373EB" w:rsidP="000373EB">
      <w:pPr>
        <w:spacing w:after="0"/>
        <w:rPr>
          <w:i/>
          <w:iCs/>
          <w:lang w:val="en-GB"/>
        </w:rPr>
      </w:pPr>
      <w:r w:rsidRPr="004C0C0E">
        <w:rPr>
          <w:i/>
          <w:iCs/>
          <w:lang w:val="en-GB"/>
        </w:rPr>
        <w:t>b) Reason</w:t>
      </w:r>
    </w:p>
    <w:p w14:paraId="2ACB9300" w14:textId="77777777" w:rsidR="000373EB" w:rsidRPr="004C0C0E" w:rsidRDefault="000373EB" w:rsidP="000373EB">
      <w:pPr>
        <w:spacing w:after="0"/>
        <w:rPr>
          <w:i/>
          <w:iCs/>
          <w:lang w:val="en-GB"/>
        </w:rPr>
      </w:pPr>
      <w:r w:rsidRPr="004C0C0E">
        <w:rPr>
          <w:i/>
          <w:iCs/>
          <w:lang w:val="en-GB"/>
        </w:rPr>
        <w:t>c) Who has been convicted?</w:t>
      </w:r>
    </w:p>
    <w:p w14:paraId="5ED33ED1" w14:textId="77777777" w:rsidR="000373EB" w:rsidRPr="004C0C0E" w:rsidRDefault="000373EB" w:rsidP="000373EB">
      <w:pPr>
        <w:spacing w:after="0"/>
        <w:rPr>
          <w:i/>
          <w:iCs/>
          <w:lang w:val="en-GB"/>
        </w:rPr>
      </w:pPr>
      <w:r w:rsidRPr="004C0C0E">
        <w:rPr>
          <w:i/>
          <w:iCs/>
          <w:lang w:val="en-GB"/>
        </w:rPr>
        <w:t>d) Length of the period of exclusion</w:t>
      </w:r>
    </w:p>
    <w:p w14:paraId="691DC445" w14:textId="77777777" w:rsidR="000373EB" w:rsidRPr="004C0C0E" w:rsidRDefault="000373EB" w:rsidP="000373EB">
      <w:pPr>
        <w:spacing w:after="0"/>
        <w:rPr>
          <w:i/>
          <w:iCs/>
          <w:lang w:val="en-GB"/>
        </w:rPr>
      </w:pPr>
      <w:r w:rsidRPr="004C0C0E">
        <w:rPr>
          <w:i/>
          <w:iCs/>
          <w:lang w:val="en-GB"/>
        </w:rPr>
        <w:t>e) Have you taken measures to demonstrate your reliability ("Self-Cleaning") (Yes/No)? If "Yes" Please describe them</w:t>
      </w:r>
    </w:p>
    <w:p w14:paraId="35FF7DEF" w14:textId="77777777" w:rsidR="000373EB" w:rsidRPr="004C0C0E" w:rsidRDefault="000373EB" w:rsidP="000373EB">
      <w:pPr>
        <w:rPr>
          <w:i/>
          <w:iCs/>
          <w:lang w:val="en-GB"/>
        </w:rPr>
      </w:pPr>
      <w:r w:rsidRPr="004C0C0E">
        <w:rPr>
          <w:i/>
          <w:iCs/>
          <w:lang w:val="en-GB"/>
        </w:rPr>
        <w:t>f) Is this information available electronically? If "Yes" provide URL, Reference/Code and Issuer</w:t>
      </w:r>
    </w:p>
    <w:p w14:paraId="6E48057F" w14:textId="77777777" w:rsidR="000373EB" w:rsidRPr="00A82859" w:rsidRDefault="000373EB" w:rsidP="000373EB">
      <w:pPr>
        <w:pStyle w:val="Heading5"/>
      </w:pPr>
      <w:r w:rsidRPr="00A82859">
        <w:t>A.4. Terrorist offences or offences linked to terrorist activities</w:t>
      </w:r>
    </w:p>
    <w:p w14:paraId="5C07CA47"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31E7EA6C" w14:textId="77777777" w:rsidR="000373EB" w:rsidRPr="004C0C0E" w:rsidRDefault="000373EB" w:rsidP="000373EB">
      <w:pPr>
        <w:keepNext/>
        <w:spacing w:after="0"/>
        <w:rPr>
          <w:i/>
          <w:iCs/>
          <w:lang w:val="en-GB"/>
        </w:rPr>
      </w:pPr>
      <w:r w:rsidRPr="004C0C0E">
        <w:rPr>
          <w:i/>
          <w:iCs/>
          <w:lang w:val="en-GB"/>
        </w:rPr>
        <w:t>Only if the answer is not "No (Fulfilled)" the tenderer shall complete the comment field with the following information:</w:t>
      </w:r>
    </w:p>
    <w:p w14:paraId="291908E7" w14:textId="77777777" w:rsidR="000373EB" w:rsidRPr="004C0C0E" w:rsidRDefault="000373EB" w:rsidP="000373EB">
      <w:pPr>
        <w:keepNext/>
        <w:spacing w:after="0"/>
        <w:rPr>
          <w:i/>
          <w:iCs/>
          <w:lang w:val="en-GB"/>
        </w:rPr>
      </w:pPr>
      <w:r w:rsidRPr="004C0C0E">
        <w:rPr>
          <w:i/>
          <w:iCs/>
          <w:lang w:val="en-GB"/>
        </w:rPr>
        <w:t>a) Date for conviction</w:t>
      </w:r>
    </w:p>
    <w:p w14:paraId="40774D53" w14:textId="77777777" w:rsidR="000373EB" w:rsidRPr="004C0C0E" w:rsidRDefault="000373EB" w:rsidP="000373EB">
      <w:pPr>
        <w:keepNext/>
        <w:spacing w:after="0"/>
        <w:rPr>
          <w:i/>
          <w:iCs/>
          <w:lang w:val="en-GB"/>
        </w:rPr>
      </w:pPr>
      <w:r w:rsidRPr="004C0C0E">
        <w:rPr>
          <w:i/>
          <w:iCs/>
          <w:lang w:val="en-GB"/>
        </w:rPr>
        <w:t>b) Reason</w:t>
      </w:r>
    </w:p>
    <w:p w14:paraId="3BDE46F7" w14:textId="77777777" w:rsidR="000373EB" w:rsidRPr="004C0C0E" w:rsidRDefault="000373EB" w:rsidP="000373EB">
      <w:pPr>
        <w:spacing w:after="0"/>
        <w:rPr>
          <w:i/>
          <w:iCs/>
          <w:lang w:val="en-GB"/>
        </w:rPr>
      </w:pPr>
      <w:r w:rsidRPr="004C0C0E">
        <w:rPr>
          <w:i/>
          <w:iCs/>
          <w:lang w:val="en-GB"/>
        </w:rPr>
        <w:t>c) Who has been convicted?</w:t>
      </w:r>
    </w:p>
    <w:p w14:paraId="59553517" w14:textId="77777777" w:rsidR="000373EB" w:rsidRPr="004C0C0E" w:rsidRDefault="000373EB" w:rsidP="000373EB">
      <w:pPr>
        <w:spacing w:after="0"/>
        <w:rPr>
          <w:i/>
          <w:iCs/>
          <w:lang w:val="en-GB"/>
        </w:rPr>
      </w:pPr>
      <w:r w:rsidRPr="004C0C0E">
        <w:rPr>
          <w:i/>
          <w:iCs/>
          <w:lang w:val="en-GB"/>
        </w:rPr>
        <w:t>d) Length of the period of exclusion</w:t>
      </w:r>
    </w:p>
    <w:p w14:paraId="34E29882" w14:textId="77777777" w:rsidR="000373EB" w:rsidRPr="004C0C0E" w:rsidRDefault="000373EB" w:rsidP="000373EB">
      <w:pPr>
        <w:spacing w:after="0"/>
        <w:rPr>
          <w:i/>
          <w:iCs/>
          <w:lang w:val="en-GB"/>
        </w:rPr>
      </w:pPr>
      <w:r w:rsidRPr="004C0C0E">
        <w:rPr>
          <w:i/>
          <w:iCs/>
          <w:lang w:val="en-GB"/>
        </w:rPr>
        <w:t>e) Have you taken measures to demonstrate your reliability ("Self-Cleaning") (Yes/No)? If "Yes" Please describe them</w:t>
      </w:r>
    </w:p>
    <w:p w14:paraId="7401954E" w14:textId="77777777" w:rsidR="000373EB" w:rsidRPr="004C0C0E" w:rsidRDefault="000373EB" w:rsidP="000373EB">
      <w:pPr>
        <w:spacing w:after="240"/>
        <w:rPr>
          <w:i/>
          <w:iCs/>
          <w:lang w:val="en-GB"/>
        </w:rPr>
      </w:pPr>
      <w:r w:rsidRPr="004C0C0E">
        <w:rPr>
          <w:i/>
          <w:iCs/>
          <w:lang w:val="en-GB"/>
        </w:rPr>
        <w:t>f) Is this information available electronically? If "Yes" provide URL, Reference/Code and Issuer</w:t>
      </w:r>
    </w:p>
    <w:p w14:paraId="1119BB0A" w14:textId="77777777" w:rsidR="000373EB" w:rsidRPr="00E84F83" w:rsidRDefault="000373EB" w:rsidP="000373EB">
      <w:pPr>
        <w:pStyle w:val="Heading5"/>
      </w:pPr>
      <w:r>
        <w:t>A.</w:t>
      </w:r>
      <w:r w:rsidRPr="00E84F83">
        <w:t>5. Money laundering or terrorist financing</w:t>
      </w:r>
    </w:p>
    <w:p w14:paraId="23293358"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7EA38018" w14:textId="77777777" w:rsidR="000373EB" w:rsidRPr="004C0C0E" w:rsidRDefault="000373EB" w:rsidP="000373EB">
      <w:pPr>
        <w:spacing w:after="0"/>
        <w:rPr>
          <w:i/>
          <w:iCs/>
          <w:lang w:val="en-GB"/>
        </w:rPr>
      </w:pPr>
      <w:r w:rsidRPr="004C0C0E">
        <w:rPr>
          <w:i/>
          <w:iCs/>
          <w:lang w:val="en-GB"/>
        </w:rPr>
        <w:t>Only if the answer is not "No (Fulfilled)" the tenderer shall complete the comment field with the following information:</w:t>
      </w:r>
    </w:p>
    <w:p w14:paraId="617623B6" w14:textId="77777777" w:rsidR="000373EB" w:rsidRPr="004C0C0E" w:rsidRDefault="000373EB" w:rsidP="000373EB">
      <w:pPr>
        <w:spacing w:after="0"/>
        <w:rPr>
          <w:i/>
          <w:iCs/>
          <w:lang w:val="en-GB"/>
        </w:rPr>
      </w:pPr>
      <w:r w:rsidRPr="004C0C0E">
        <w:rPr>
          <w:i/>
          <w:iCs/>
          <w:lang w:val="en-GB"/>
        </w:rPr>
        <w:t>a) Date for conviction</w:t>
      </w:r>
    </w:p>
    <w:p w14:paraId="0C44D4DD" w14:textId="77777777" w:rsidR="000373EB" w:rsidRPr="004C0C0E" w:rsidRDefault="000373EB" w:rsidP="000373EB">
      <w:pPr>
        <w:spacing w:after="0"/>
        <w:rPr>
          <w:i/>
          <w:iCs/>
          <w:lang w:val="en-GB"/>
        </w:rPr>
      </w:pPr>
      <w:r w:rsidRPr="004C0C0E">
        <w:rPr>
          <w:i/>
          <w:iCs/>
          <w:lang w:val="en-GB"/>
        </w:rPr>
        <w:t>b) Reason</w:t>
      </w:r>
    </w:p>
    <w:p w14:paraId="47A6CA4C" w14:textId="77777777" w:rsidR="000373EB" w:rsidRPr="004C0C0E" w:rsidRDefault="000373EB" w:rsidP="000373EB">
      <w:pPr>
        <w:spacing w:after="0"/>
        <w:rPr>
          <w:i/>
          <w:iCs/>
          <w:lang w:val="en-GB"/>
        </w:rPr>
      </w:pPr>
      <w:r w:rsidRPr="004C0C0E">
        <w:rPr>
          <w:i/>
          <w:iCs/>
          <w:lang w:val="en-GB"/>
        </w:rPr>
        <w:t>c) Who has been convicted?</w:t>
      </w:r>
    </w:p>
    <w:p w14:paraId="64AB9F4C" w14:textId="77777777" w:rsidR="000373EB" w:rsidRPr="004C0C0E" w:rsidRDefault="000373EB" w:rsidP="000373EB">
      <w:pPr>
        <w:spacing w:after="0"/>
        <w:rPr>
          <w:i/>
          <w:iCs/>
          <w:lang w:val="en-GB"/>
        </w:rPr>
      </w:pPr>
      <w:r w:rsidRPr="004C0C0E">
        <w:rPr>
          <w:i/>
          <w:iCs/>
          <w:lang w:val="en-GB"/>
        </w:rPr>
        <w:t>d) Length of the period of exclusion</w:t>
      </w:r>
    </w:p>
    <w:p w14:paraId="270B10B6" w14:textId="77777777" w:rsidR="000373EB" w:rsidRPr="004C0C0E" w:rsidRDefault="000373EB" w:rsidP="000373EB">
      <w:pPr>
        <w:spacing w:after="0"/>
        <w:rPr>
          <w:i/>
          <w:iCs/>
          <w:lang w:val="en-GB"/>
        </w:rPr>
      </w:pPr>
      <w:r w:rsidRPr="004C0C0E">
        <w:rPr>
          <w:i/>
          <w:iCs/>
          <w:lang w:val="en-GB"/>
        </w:rPr>
        <w:t>e) Have you taken measures to demonstrate your reliability ("Self-Cleaning") (Yes/No)? If "Yes" Please describe them</w:t>
      </w:r>
    </w:p>
    <w:p w14:paraId="6E8CD162" w14:textId="77777777" w:rsidR="000373EB" w:rsidRPr="004C0C0E" w:rsidRDefault="000373EB" w:rsidP="000373EB">
      <w:pPr>
        <w:rPr>
          <w:i/>
          <w:iCs/>
          <w:lang w:val="en-GB"/>
        </w:rPr>
      </w:pPr>
      <w:r w:rsidRPr="004C0C0E">
        <w:rPr>
          <w:i/>
          <w:iCs/>
          <w:lang w:val="en-GB"/>
        </w:rPr>
        <w:t>f) Is this information available electronically? If "Yes" provide URL, Reference/Code and Issuer</w:t>
      </w:r>
    </w:p>
    <w:p w14:paraId="53455DF3" w14:textId="77777777" w:rsidR="000373EB" w:rsidRPr="00E84F83" w:rsidRDefault="000373EB" w:rsidP="000373EB">
      <w:pPr>
        <w:pStyle w:val="Heading5"/>
      </w:pPr>
      <w:r>
        <w:lastRenderedPageBreak/>
        <w:t>A.</w:t>
      </w:r>
      <w:r w:rsidRPr="00E84F83">
        <w:t xml:space="preserve">6. Child </w:t>
      </w:r>
      <w:proofErr w:type="spellStart"/>
      <w:r w:rsidRPr="00E84F83">
        <w:t>labour</w:t>
      </w:r>
      <w:proofErr w:type="spellEnd"/>
      <w:r w:rsidRPr="00E84F83">
        <w:t xml:space="preserve"> and other forms of trafficking in human beings</w:t>
      </w:r>
    </w:p>
    <w:p w14:paraId="27320567"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101,15.4.2011, p. 1).</w:t>
      </w:r>
    </w:p>
    <w:p w14:paraId="4505F6E4" w14:textId="77777777" w:rsidR="000373EB" w:rsidRPr="004C0C0E" w:rsidRDefault="000373EB" w:rsidP="000373EB">
      <w:pPr>
        <w:keepNext/>
        <w:spacing w:after="0"/>
        <w:rPr>
          <w:i/>
          <w:iCs/>
          <w:lang w:val="en-GB"/>
        </w:rPr>
      </w:pPr>
      <w:r w:rsidRPr="004C0C0E">
        <w:rPr>
          <w:i/>
          <w:iCs/>
          <w:lang w:val="en-GB"/>
        </w:rPr>
        <w:t>Only if the answer is not "No (Fulfilled)" the tenderer shall complete the comment field with the following information:</w:t>
      </w:r>
    </w:p>
    <w:p w14:paraId="10DD64B2" w14:textId="77777777" w:rsidR="000373EB" w:rsidRPr="004C0C0E" w:rsidRDefault="000373EB" w:rsidP="000373EB">
      <w:pPr>
        <w:spacing w:after="0"/>
        <w:rPr>
          <w:i/>
          <w:iCs/>
          <w:lang w:val="en-GB"/>
        </w:rPr>
      </w:pPr>
      <w:r w:rsidRPr="004C0C0E">
        <w:rPr>
          <w:i/>
          <w:iCs/>
          <w:lang w:val="en-GB"/>
        </w:rPr>
        <w:t>a) Date for conviction</w:t>
      </w:r>
    </w:p>
    <w:p w14:paraId="186CA84E" w14:textId="77777777" w:rsidR="000373EB" w:rsidRPr="004C0C0E" w:rsidRDefault="000373EB" w:rsidP="000373EB">
      <w:pPr>
        <w:spacing w:after="0"/>
        <w:rPr>
          <w:i/>
          <w:iCs/>
          <w:lang w:val="en-GB"/>
        </w:rPr>
      </w:pPr>
      <w:r w:rsidRPr="004C0C0E">
        <w:rPr>
          <w:i/>
          <w:iCs/>
          <w:lang w:val="en-GB"/>
        </w:rPr>
        <w:t>b) Reason</w:t>
      </w:r>
    </w:p>
    <w:p w14:paraId="1B816F30" w14:textId="77777777" w:rsidR="000373EB" w:rsidRPr="004C0C0E" w:rsidRDefault="000373EB" w:rsidP="000373EB">
      <w:pPr>
        <w:spacing w:after="0"/>
        <w:rPr>
          <w:i/>
          <w:iCs/>
          <w:lang w:val="en-GB"/>
        </w:rPr>
      </w:pPr>
      <w:r w:rsidRPr="004C0C0E">
        <w:rPr>
          <w:i/>
          <w:iCs/>
          <w:lang w:val="en-GB"/>
        </w:rPr>
        <w:t>c) Who has been convicted?</w:t>
      </w:r>
    </w:p>
    <w:p w14:paraId="4F93366A" w14:textId="77777777" w:rsidR="000373EB" w:rsidRPr="004C0C0E" w:rsidRDefault="000373EB" w:rsidP="000373EB">
      <w:pPr>
        <w:spacing w:after="0"/>
        <w:rPr>
          <w:i/>
          <w:iCs/>
          <w:lang w:val="en-GB"/>
        </w:rPr>
      </w:pPr>
      <w:r w:rsidRPr="004C0C0E">
        <w:rPr>
          <w:i/>
          <w:iCs/>
          <w:lang w:val="en-GB"/>
        </w:rPr>
        <w:t>d) Length of the period of exclusion</w:t>
      </w:r>
    </w:p>
    <w:p w14:paraId="5D9B6044" w14:textId="77777777" w:rsidR="000373EB" w:rsidRPr="004C0C0E" w:rsidRDefault="000373EB" w:rsidP="000373EB">
      <w:pPr>
        <w:spacing w:after="0"/>
        <w:rPr>
          <w:i/>
          <w:iCs/>
          <w:lang w:val="en-GB"/>
        </w:rPr>
      </w:pPr>
      <w:r w:rsidRPr="004C0C0E">
        <w:rPr>
          <w:i/>
          <w:iCs/>
          <w:lang w:val="en-GB"/>
        </w:rPr>
        <w:t>e) Have you taken measures to demonstrate your reliability ("Self-Cleaning") (Yes/No)? If "Yes" Please describe them</w:t>
      </w:r>
    </w:p>
    <w:p w14:paraId="2CC8EFCA" w14:textId="77777777" w:rsidR="000373EB" w:rsidRPr="004C0C0E" w:rsidRDefault="000373EB" w:rsidP="000373EB">
      <w:pPr>
        <w:spacing w:after="0"/>
        <w:rPr>
          <w:i/>
          <w:iCs/>
          <w:lang w:val="en-GB"/>
        </w:rPr>
      </w:pPr>
      <w:r w:rsidRPr="004C0C0E">
        <w:rPr>
          <w:i/>
          <w:iCs/>
          <w:lang w:val="en-GB"/>
        </w:rPr>
        <w:t>f) Is this information available electronically? If "Yes" provide URL, Reference/Code and Issuer</w:t>
      </w:r>
    </w:p>
    <w:p w14:paraId="75949B01" w14:textId="77777777" w:rsidR="000373EB" w:rsidRPr="00653005" w:rsidRDefault="000373EB" w:rsidP="000373EB">
      <w:pPr>
        <w:pStyle w:val="Heading4"/>
      </w:pPr>
      <w:r>
        <w:t xml:space="preserve">B. </w:t>
      </w:r>
      <w:r w:rsidRPr="00653005">
        <w:t>GROUNDS RELATING TO THE PAYMENT OF TAXES OR SOCIAL SECURITY CONTRIBUTIONS</w:t>
      </w:r>
    </w:p>
    <w:p w14:paraId="610B7723" w14:textId="77777777" w:rsidR="000373EB" w:rsidRPr="00E84F83" w:rsidRDefault="000373EB" w:rsidP="000373EB">
      <w:pPr>
        <w:pStyle w:val="Heading4"/>
      </w:pPr>
      <w:r>
        <w:t>B.</w:t>
      </w:r>
      <w:r w:rsidRPr="00E84F83">
        <w:t>1. Payment of taxes</w:t>
      </w:r>
    </w:p>
    <w:p w14:paraId="0FE66AA3" w14:textId="77777777" w:rsidR="000373EB" w:rsidRPr="00E84F83" w:rsidRDefault="000373EB" w:rsidP="000373EB">
      <w:pPr>
        <w:spacing w:after="0"/>
        <w:rPr>
          <w:lang w:val="en-GB"/>
        </w:rPr>
      </w:pPr>
      <w:r w:rsidRPr="00E84F83">
        <w:rPr>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1595986E" w14:textId="77777777" w:rsidR="000373EB" w:rsidRPr="00500E82" w:rsidRDefault="000373EB" w:rsidP="000373EB">
      <w:pPr>
        <w:spacing w:after="0"/>
        <w:rPr>
          <w:i/>
          <w:iCs/>
          <w:lang w:val="en-GB"/>
        </w:rPr>
      </w:pPr>
      <w:r w:rsidRPr="00500E82">
        <w:rPr>
          <w:i/>
          <w:iCs/>
          <w:lang w:val="en-GB"/>
        </w:rPr>
        <w:t>Only if the answer is not "No (Fulfilled)" the tenderer shall complete the comment field with the following information:</w:t>
      </w:r>
    </w:p>
    <w:p w14:paraId="270563B1" w14:textId="77777777" w:rsidR="000373EB" w:rsidRPr="00500E82" w:rsidRDefault="000373EB" w:rsidP="000373EB">
      <w:pPr>
        <w:spacing w:after="0"/>
        <w:rPr>
          <w:i/>
          <w:iCs/>
          <w:lang w:val="en-GB"/>
        </w:rPr>
      </w:pPr>
      <w:r w:rsidRPr="00500E82">
        <w:rPr>
          <w:i/>
          <w:iCs/>
          <w:lang w:val="en-GB"/>
        </w:rPr>
        <w:t>a) Country or Member State concerned</w:t>
      </w:r>
    </w:p>
    <w:p w14:paraId="14CE4BD4" w14:textId="77777777" w:rsidR="000373EB" w:rsidRPr="00500E82" w:rsidRDefault="000373EB" w:rsidP="000373EB">
      <w:pPr>
        <w:spacing w:after="0"/>
        <w:rPr>
          <w:i/>
          <w:iCs/>
          <w:lang w:val="en-GB"/>
        </w:rPr>
      </w:pPr>
      <w:r w:rsidRPr="00500E82">
        <w:rPr>
          <w:i/>
          <w:iCs/>
          <w:lang w:val="en-GB"/>
        </w:rPr>
        <w:t>b) Amount concerned and currency</w:t>
      </w:r>
    </w:p>
    <w:p w14:paraId="493FC547" w14:textId="77777777" w:rsidR="000373EB" w:rsidRPr="00500E82" w:rsidRDefault="000373EB" w:rsidP="000373EB">
      <w:pPr>
        <w:spacing w:after="0"/>
        <w:rPr>
          <w:i/>
          <w:iCs/>
          <w:lang w:val="en-GB"/>
        </w:rPr>
      </w:pPr>
      <w:r w:rsidRPr="00500E82">
        <w:rPr>
          <w:i/>
          <w:iCs/>
          <w:lang w:val="en-GB"/>
        </w:rPr>
        <w:t>c) Has this breach of obligations been established by means other than a judicial or administrative decision? (Yes/No). If "Yes", Please describe which means were used</w:t>
      </w:r>
    </w:p>
    <w:p w14:paraId="2E8016A7" w14:textId="77777777" w:rsidR="000373EB" w:rsidRPr="00500E82" w:rsidRDefault="000373EB" w:rsidP="000373EB">
      <w:pPr>
        <w:spacing w:after="0"/>
        <w:rPr>
          <w:i/>
          <w:iCs/>
          <w:lang w:val="en-GB"/>
        </w:rPr>
      </w:pPr>
      <w:r w:rsidRPr="00500E82">
        <w:rPr>
          <w:i/>
          <w:iCs/>
          <w:lang w:val="en-GB"/>
        </w:rPr>
        <w:t>d) Has the economic operator fulfilled its obligations by paying or entering into a binding arrangement with a view to paying the</w:t>
      </w:r>
    </w:p>
    <w:p w14:paraId="02F1C0B1" w14:textId="77777777" w:rsidR="000373EB" w:rsidRPr="00500E82" w:rsidRDefault="000373EB" w:rsidP="000373EB">
      <w:pPr>
        <w:spacing w:after="0"/>
        <w:rPr>
          <w:i/>
          <w:iCs/>
          <w:lang w:val="en-GB"/>
        </w:rPr>
      </w:pPr>
      <w:r w:rsidRPr="00500E82">
        <w:rPr>
          <w:i/>
          <w:iCs/>
          <w:lang w:val="en-GB"/>
        </w:rPr>
        <w:t>taxes or social security contributions due, including, where applicable, any interest accrued or fines? (Yes/No)). If "Yes", Please describe them</w:t>
      </w:r>
    </w:p>
    <w:p w14:paraId="0F79E660" w14:textId="77777777" w:rsidR="000373EB" w:rsidRPr="00500E82" w:rsidRDefault="000373EB" w:rsidP="000373EB">
      <w:pPr>
        <w:spacing w:after="80"/>
        <w:rPr>
          <w:i/>
          <w:iCs/>
          <w:lang w:val="en-GB"/>
        </w:rPr>
      </w:pPr>
      <w:r w:rsidRPr="00500E82">
        <w:rPr>
          <w:i/>
          <w:iCs/>
          <w:lang w:val="en-GB"/>
        </w:rPr>
        <w:t>e) Is this information available electronically? If "Yes" provide URL, Reference/Code and Issuer</w:t>
      </w:r>
    </w:p>
    <w:p w14:paraId="247F6307" w14:textId="77777777" w:rsidR="000373EB" w:rsidRPr="00E84F83" w:rsidRDefault="000373EB" w:rsidP="000373EB">
      <w:pPr>
        <w:pStyle w:val="Heading5"/>
      </w:pPr>
      <w:r>
        <w:t>B</w:t>
      </w:r>
      <w:r w:rsidRPr="00E84F83">
        <w:t>.2. Payment of social security</w:t>
      </w:r>
    </w:p>
    <w:p w14:paraId="4606D3B7" w14:textId="77777777" w:rsidR="000373EB" w:rsidRPr="00E84F83" w:rsidRDefault="000373EB" w:rsidP="000373EB">
      <w:pPr>
        <w:rPr>
          <w:lang w:val="en-GB"/>
        </w:rPr>
      </w:pPr>
      <w:r w:rsidRPr="00E84F83">
        <w:rPr>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0EF4FAF6" w14:textId="77777777" w:rsidR="000373EB" w:rsidRPr="004C0C0E" w:rsidRDefault="000373EB" w:rsidP="000373EB">
      <w:pPr>
        <w:spacing w:after="0"/>
        <w:rPr>
          <w:i/>
          <w:iCs/>
          <w:lang w:val="en-GB"/>
        </w:rPr>
      </w:pPr>
      <w:r w:rsidRPr="004C0C0E">
        <w:rPr>
          <w:i/>
          <w:iCs/>
          <w:lang w:val="en-GB"/>
        </w:rPr>
        <w:t>Only if the answer is not "No (Fulfilled)" the tenderer shall complete the comment field with the following information:</w:t>
      </w:r>
    </w:p>
    <w:p w14:paraId="674C5CEC" w14:textId="77777777" w:rsidR="000373EB" w:rsidRPr="004C0C0E" w:rsidRDefault="000373EB" w:rsidP="000373EB">
      <w:pPr>
        <w:spacing w:after="0"/>
        <w:rPr>
          <w:i/>
          <w:iCs/>
          <w:lang w:val="en-GB"/>
        </w:rPr>
      </w:pPr>
      <w:r w:rsidRPr="004C0C0E">
        <w:rPr>
          <w:i/>
          <w:iCs/>
          <w:lang w:val="en-GB"/>
        </w:rPr>
        <w:t>a) Country or Member State concerned</w:t>
      </w:r>
    </w:p>
    <w:p w14:paraId="7795B45B" w14:textId="77777777" w:rsidR="000373EB" w:rsidRPr="004C0C0E" w:rsidRDefault="000373EB" w:rsidP="000373EB">
      <w:pPr>
        <w:spacing w:after="0"/>
        <w:rPr>
          <w:i/>
          <w:iCs/>
          <w:lang w:val="en-GB"/>
        </w:rPr>
      </w:pPr>
      <w:r w:rsidRPr="004C0C0E">
        <w:rPr>
          <w:i/>
          <w:iCs/>
          <w:lang w:val="en-GB"/>
        </w:rPr>
        <w:t>b) Amount concerned and currency</w:t>
      </w:r>
    </w:p>
    <w:p w14:paraId="4534F31B" w14:textId="77777777" w:rsidR="000373EB" w:rsidRPr="004C0C0E" w:rsidRDefault="000373EB" w:rsidP="000373EB">
      <w:pPr>
        <w:spacing w:after="0"/>
        <w:rPr>
          <w:i/>
          <w:iCs/>
          <w:lang w:val="en-GB"/>
        </w:rPr>
      </w:pPr>
      <w:r w:rsidRPr="004C0C0E">
        <w:rPr>
          <w:i/>
          <w:iCs/>
          <w:lang w:val="en-GB"/>
        </w:rPr>
        <w:t>c) Has this breach of obligations been established by means other than a judicial or administrative decision? (Yes/No). If "Yes" Please describe which means were used</w:t>
      </w:r>
    </w:p>
    <w:p w14:paraId="1B5F29F4" w14:textId="77777777" w:rsidR="000373EB" w:rsidRPr="004C0C0E" w:rsidRDefault="000373EB" w:rsidP="000373EB">
      <w:pPr>
        <w:spacing w:after="0"/>
        <w:rPr>
          <w:i/>
          <w:iCs/>
          <w:lang w:val="en-GB"/>
        </w:rPr>
      </w:pPr>
      <w:r w:rsidRPr="004C0C0E">
        <w:rPr>
          <w:i/>
          <w:iCs/>
          <w:lang w:val="en-GB"/>
        </w:rPr>
        <w:t>d) Has the economic operator fulfilled its obligations by paying or entering into a binding arrangement with a view to paying the taxes or social security contributions due, including, where applicable, any interest accrued or fines? (Yes/No)). If "Yes", Please describe them</w:t>
      </w:r>
    </w:p>
    <w:p w14:paraId="2CD932A2" w14:textId="77777777" w:rsidR="000373EB" w:rsidRPr="004C0C0E" w:rsidRDefault="000373EB" w:rsidP="000373EB">
      <w:pPr>
        <w:spacing w:after="80"/>
        <w:rPr>
          <w:i/>
          <w:iCs/>
          <w:lang w:val="en-GB"/>
        </w:rPr>
      </w:pPr>
      <w:r w:rsidRPr="004C0C0E">
        <w:rPr>
          <w:i/>
          <w:iCs/>
          <w:lang w:val="en-GB"/>
        </w:rPr>
        <w:lastRenderedPageBreak/>
        <w:t>e) Is this information available electronically? If "Yes" provide URL, Reference/Code and Issuer</w:t>
      </w:r>
    </w:p>
    <w:p w14:paraId="69B4CA0D" w14:textId="77777777" w:rsidR="000373EB" w:rsidRPr="00D5357C" w:rsidRDefault="000373EB" w:rsidP="000373EB">
      <w:pPr>
        <w:pStyle w:val="Heading4"/>
      </w:pPr>
      <w:r>
        <w:t xml:space="preserve">C. </w:t>
      </w:r>
      <w:r w:rsidRPr="00D5357C">
        <w:t>GROUNDS RELATING TO INSOLVENCY, CONFLICTS OF INTERESTS OR PROFESSIONAL MISCONDUCT</w:t>
      </w:r>
    </w:p>
    <w:p w14:paraId="57B83EE5" w14:textId="77777777" w:rsidR="000373EB" w:rsidRPr="00E84F83" w:rsidRDefault="000373EB" w:rsidP="000373EB">
      <w:pPr>
        <w:pStyle w:val="Heading4"/>
      </w:pPr>
      <w:r>
        <w:t>C.</w:t>
      </w:r>
      <w:r w:rsidRPr="00E84F83">
        <w:t>1. Breaching of obligations in the field of environmental law</w:t>
      </w:r>
    </w:p>
    <w:p w14:paraId="5251BFCA" w14:textId="77777777" w:rsidR="000373EB" w:rsidRPr="00E84F83" w:rsidRDefault="000373EB" w:rsidP="000373EB">
      <w:pPr>
        <w:rPr>
          <w:lang w:val="en-GB"/>
        </w:rPr>
      </w:pPr>
      <w:r w:rsidRPr="00E84F83">
        <w:rPr>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2537981A" w14:textId="77777777" w:rsidR="000373EB" w:rsidRPr="004C0C0E" w:rsidRDefault="000373EB" w:rsidP="000373EB">
      <w:pPr>
        <w:spacing w:after="0"/>
        <w:rPr>
          <w:i/>
          <w:iCs/>
          <w:lang w:val="en-GB"/>
        </w:rPr>
      </w:pPr>
      <w:r w:rsidRPr="004C0C0E">
        <w:rPr>
          <w:i/>
          <w:iCs/>
          <w:lang w:val="en-GB"/>
        </w:rPr>
        <w:t>Only if the answer is not "No (Fulfilled)" the tenderer shall complete the comment field with the following information:</w:t>
      </w:r>
    </w:p>
    <w:p w14:paraId="60D2F09D" w14:textId="77777777" w:rsidR="000373EB" w:rsidRPr="004C0C0E" w:rsidRDefault="000373EB" w:rsidP="000373EB">
      <w:pPr>
        <w:spacing w:after="0"/>
        <w:rPr>
          <w:i/>
          <w:iCs/>
          <w:lang w:val="en-GB"/>
        </w:rPr>
      </w:pPr>
      <w:r w:rsidRPr="004C0C0E">
        <w:rPr>
          <w:i/>
          <w:iCs/>
          <w:lang w:val="en-GB"/>
        </w:rPr>
        <w:t>a) Please describe them</w:t>
      </w:r>
    </w:p>
    <w:p w14:paraId="1765A8B4" w14:textId="77777777" w:rsidR="000373EB" w:rsidRPr="004C0C0E" w:rsidRDefault="000373EB" w:rsidP="000373EB">
      <w:pPr>
        <w:spacing w:after="80"/>
        <w:rPr>
          <w:i/>
          <w:iCs/>
          <w:lang w:val="en-GB"/>
        </w:rPr>
      </w:pPr>
      <w:r w:rsidRPr="004C0C0E">
        <w:rPr>
          <w:i/>
          <w:iCs/>
          <w:lang w:val="en-GB"/>
        </w:rPr>
        <w:t>b) Have you taken measures to demonstrate your reliability ("Self-Cleaning")? If "Yes", Please describe them</w:t>
      </w:r>
    </w:p>
    <w:p w14:paraId="5F553CE9" w14:textId="77777777" w:rsidR="000373EB" w:rsidRPr="00E84F83" w:rsidRDefault="000373EB" w:rsidP="000373EB">
      <w:pPr>
        <w:pStyle w:val="Heading5"/>
      </w:pPr>
      <w:r>
        <w:t>C.</w:t>
      </w:r>
      <w:r w:rsidRPr="00E84F83">
        <w:t>2. Breaching of obligations in the field of social law</w:t>
      </w:r>
    </w:p>
    <w:p w14:paraId="640EB0A0" w14:textId="77777777" w:rsidR="000373EB" w:rsidRPr="00E84F83" w:rsidRDefault="000373EB" w:rsidP="000373EB">
      <w:pPr>
        <w:rPr>
          <w:lang w:val="en-GB"/>
        </w:rPr>
      </w:pPr>
      <w:r w:rsidRPr="00E84F83">
        <w:rPr>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229ADF3D" w14:textId="77777777" w:rsidR="000373EB" w:rsidRPr="004C0C0E" w:rsidRDefault="000373EB" w:rsidP="000373EB">
      <w:pPr>
        <w:spacing w:after="0"/>
        <w:rPr>
          <w:i/>
          <w:iCs/>
          <w:lang w:val="en-GB"/>
        </w:rPr>
      </w:pPr>
      <w:r w:rsidRPr="004C0C0E">
        <w:rPr>
          <w:i/>
          <w:iCs/>
          <w:lang w:val="en-GB"/>
        </w:rPr>
        <w:t>Only if the answer is not "No (Fulfilled)" the tenderer shall complete the comment field with the following information:</w:t>
      </w:r>
    </w:p>
    <w:p w14:paraId="2A72FD54" w14:textId="77777777" w:rsidR="000373EB" w:rsidRPr="004C0C0E" w:rsidRDefault="000373EB" w:rsidP="000373EB">
      <w:pPr>
        <w:spacing w:after="0"/>
        <w:rPr>
          <w:i/>
          <w:iCs/>
          <w:lang w:val="en-GB"/>
        </w:rPr>
      </w:pPr>
      <w:r w:rsidRPr="004C0C0E">
        <w:rPr>
          <w:i/>
          <w:iCs/>
          <w:lang w:val="en-GB"/>
        </w:rPr>
        <w:t>a) Please describe them</w:t>
      </w:r>
    </w:p>
    <w:p w14:paraId="186D5503" w14:textId="77777777" w:rsidR="000373EB" w:rsidRPr="004C0C0E" w:rsidRDefault="000373EB" w:rsidP="000373EB">
      <w:pPr>
        <w:spacing w:after="80"/>
        <w:rPr>
          <w:i/>
          <w:iCs/>
          <w:lang w:val="en-GB"/>
        </w:rPr>
      </w:pPr>
      <w:r w:rsidRPr="004C0C0E">
        <w:rPr>
          <w:i/>
          <w:iCs/>
          <w:lang w:val="en-GB"/>
        </w:rPr>
        <w:t>b) Have you taken measures to demonstrate your reliability ("Self-Cleaning")? If "Yes", Please describe them</w:t>
      </w:r>
    </w:p>
    <w:p w14:paraId="70FD1396" w14:textId="77777777" w:rsidR="000373EB" w:rsidRPr="00E84F83" w:rsidRDefault="000373EB" w:rsidP="000373EB">
      <w:pPr>
        <w:pStyle w:val="Heading5"/>
      </w:pPr>
      <w:r>
        <w:t>C</w:t>
      </w:r>
      <w:r w:rsidRPr="00E84F83">
        <w:t xml:space="preserve">.3. Breaching of obligations in the fields of </w:t>
      </w:r>
      <w:proofErr w:type="spellStart"/>
      <w:r w:rsidRPr="00E84F83">
        <w:t>labour</w:t>
      </w:r>
      <w:proofErr w:type="spellEnd"/>
      <w:r w:rsidRPr="00E84F83">
        <w:t xml:space="preserve"> law</w:t>
      </w:r>
    </w:p>
    <w:p w14:paraId="37E559AE" w14:textId="77777777" w:rsidR="000373EB" w:rsidRPr="00E84F83" w:rsidRDefault="000373EB" w:rsidP="000373EB">
      <w:pPr>
        <w:rPr>
          <w:lang w:val="en-GB"/>
        </w:rPr>
      </w:pPr>
      <w:r w:rsidRPr="00E84F83">
        <w:rPr>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74AE292C" w14:textId="77777777" w:rsidR="000373EB" w:rsidRPr="004C0C0E" w:rsidRDefault="000373EB" w:rsidP="000373EB">
      <w:pPr>
        <w:spacing w:after="0"/>
        <w:rPr>
          <w:i/>
          <w:iCs/>
          <w:lang w:val="en-GB"/>
        </w:rPr>
      </w:pPr>
      <w:r w:rsidRPr="004C0C0E">
        <w:rPr>
          <w:i/>
          <w:iCs/>
          <w:lang w:val="en-GB"/>
        </w:rPr>
        <w:t>Only if the answer is not "No (Fulfilled)" the tenderer shall complete the comment field with the following information:</w:t>
      </w:r>
    </w:p>
    <w:p w14:paraId="586E6954" w14:textId="77777777" w:rsidR="000373EB" w:rsidRPr="004C0C0E" w:rsidRDefault="000373EB" w:rsidP="000373EB">
      <w:pPr>
        <w:spacing w:after="0"/>
        <w:rPr>
          <w:i/>
          <w:iCs/>
          <w:lang w:val="en-GB"/>
        </w:rPr>
      </w:pPr>
      <w:r w:rsidRPr="004C0C0E">
        <w:rPr>
          <w:i/>
          <w:iCs/>
          <w:lang w:val="en-GB"/>
        </w:rPr>
        <w:t>a) Please describe them</w:t>
      </w:r>
    </w:p>
    <w:p w14:paraId="1ECBAE88" w14:textId="77777777" w:rsidR="000373EB" w:rsidRPr="004C0C0E" w:rsidRDefault="000373EB" w:rsidP="000373EB">
      <w:pPr>
        <w:spacing w:after="80"/>
        <w:rPr>
          <w:i/>
          <w:iCs/>
          <w:lang w:val="en-GB"/>
        </w:rPr>
      </w:pPr>
      <w:r w:rsidRPr="004C0C0E">
        <w:rPr>
          <w:i/>
          <w:iCs/>
          <w:lang w:val="en-GB"/>
        </w:rPr>
        <w:t>b) Have you taken measures to demonstrate your reliability ("Self-Cleaning")? If "Yes", Please describe them</w:t>
      </w:r>
    </w:p>
    <w:p w14:paraId="419B86F9" w14:textId="77777777" w:rsidR="000373EB" w:rsidRPr="007B0C66" w:rsidRDefault="000373EB" w:rsidP="000373EB">
      <w:pPr>
        <w:pStyle w:val="Heading5"/>
      </w:pPr>
      <w:r>
        <w:t>C</w:t>
      </w:r>
      <w:r w:rsidRPr="007B0C66">
        <w:t>.4. Bankruptcy</w:t>
      </w:r>
    </w:p>
    <w:p w14:paraId="0695DED2" w14:textId="77777777" w:rsidR="000373EB" w:rsidRPr="00E84F83" w:rsidRDefault="000373EB" w:rsidP="000373EB">
      <w:pPr>
        <w:spacing w:after="80"/>
        <w:rPr>
          <w:lang w:val="en-GB"/>
        </w:rPr>
      </w:pPr>
      <w:r w:rsidRPr="00E84F83">
        <w:rPr>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3E91C208" w14:textId="77777777" w:rsidR="000373EB" w:rsidRPr="004C0C0E" w:rsidRDefault="000373EB" w:rsidP="000373EB">
      <w:pPr>
        <w:spacing w:after="0"/>
        <w:rPr>
          <w:i/>
          <w:iCs/>
          <w:lang w:val="en-GB"/>
        </w:rPr>
      </w:pPr>
      <w:r w:rsidRPr="004C0C0E">
        <w:rPr>
          <w:i/>
          <w:iCs/>
          <w:lang w:val="en-GB"/>
        </w:rPr>
        <w:t>Only if the answer is not "No (Fulfilled)" the tenderer shall complete the comment field with the following information:</w:t>
      </w:r>
    </w:p>
    <w:p w14:paraId="78CD7908" w14:textId="77777777" w:rsidR="000373EB" w:rsidRPr="004C0C0E" w:rsidRDefault="000373EB" w:rsidP="000373EB">
      <w:pPr>
        <w:spacing w:after="0"/>
        <w:rPr>
          <w:i/>
          <w:iCs/>
          <w:lang w:val="en-GB"/>
        </w:rPr>
      </w:pPr>
      <w:r w:rsidRPr="004C0C0E">
        <w:rPr>
          <w:i/>
          <w:iCs/>
          <w:lang w:val="en-GB"/>
        </w:rPr>
        <w:t>a) Please describe them</w:t>
      </w:r>
    </w:p>
    <w:p w14:paraId="7DA916B9" w14:textId="77777777" w:rsidR="000373EB" w:rsidRPr="004C0C0E" w:rsidRDefault="000373EB" w:rsidP="000373EB">
      <w:pPr>
        <w:spacing w:after="0"/>
        <w:rPr>
          <w:i/>
          <w:iCs/>
          <w:lang w:val="en-GB"/>
        </w:rPr>
      </w:pPr>
      <w:r w:rsidRPr="004C0C0E">
        <w:rPr>
          <w:i/>
          <w:iCs/>
          <w:lang w:val="en-GB"/>
        </w:rPr>
        <w:t>b) Indicate reasons for being able nevertheless to perform the contract</w:t>
      </w:r>
    </w:p>
    <w:p w14:paraId="5AD9A9EC" w14:textId="77777777" w:rsidR="000373EB" w:rsidRPr="004C0C0E" w:rsidRDefault="000373EB" w:rsidP="000373EB">
      <w:pPr>
        <w:rPr>
          <w:i/>
          <w:iCs/>
          <w:lang w:val="en-GB"/>
        </w:rPr>
      </w:pPr>
      <w:r w:rsidRPr="004C0C0E">
        <w:rPr>
          <w:i/>
          <w:iCs/>
          <w:lang w:val="en-GB"/>
        </w:rPr>
        <w:t>c) Is this information available electronically? If "Yes" provide URL, Reference/Code and Issuer</w:t>
      </w:r>
    </w:p>
    <w:p w14:paraId="38B8EBF2" w14:textId="77777777" w:rsidR="000373EB" w:rsidRPr="007B0C66" w:rsidRDefault="000373EB" w:rsidP="000373EB">
      <w:pPr>
        <w:pStyle w:val="Heading5"/>
      </w:pPr>
      <w:r>
        <w:t>C</w:t>
      </w:r>
      <w:r w:rsidRPr="007B0C66">
        <w:t>.5. Insolvency</w:t>
      </w:r>
    </w:p>
    <w:p w14:paraId="29407D34" w14:textId="77777777" w:rsidR="000373EB" w:rsidRPr="00E84F83" w:rsidRDefault="000373EB" w:rsidP="000373EB">
      <w:pPr>
        <w:rPr>
          <w:lang w:val="en-GB"/>
        </w:rPr>
      </w:pPr>
      <w:r w:rsidRPr="00E84F83">
        <w:rPr>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2A100903" w14:textId="77777777" w:rsidR="000373EB" w:rsidRPr="004C0C0E" w:rsidRDefault="000373EB" w:rsidP="000373EB">
      <w:pPr>
        <w:spacing w:after="0"/>
        <w:rPr>
          <w:i/>
          <w:iCs/>
          <w:lang w:val="en-GB"/>
        </w:rPr>
      </w:pPr>
      <w:r w:rsidRPr="004C0C0E">
        <w:rPr>
          <w:i/>
          <w:iCs/>
          <w:lang w:val="en-GB"/>
        </w:rPr>
        <w:t>Only if the answer is not "No (Fulfilled)" the tenderer shall complete the comment field with the following information:</w:t>
      </w:r>
    </w:p>
    <w:p w14:paraId="443678C1" w14:textId="77777777" w:rsidR="000373EB" w:rsidRPr="004C0C0E" w:rsidRDefault="000373EB" w:rsidP="000373EB">
      <w:pPr>
        <w:spacing w:after="0"/>
        <w:rPr>
          <w:i/>
          <w:iCs/>
          <w:lang w:val="en-GB"/>
        </w:rPr>
      </w:pPr>
      <w:r w:rsidRPr="004C0C0E">
        <w:rPr>
          <w:i/>
          <w:iCs/>
          <w:lang w:val="en-GB"/>
        </w:rPr>
        <w:lastRenderedPageBreak/>
        <w:t>a) Please describe them</w:t>
      </w:r>
    </w:p>
    <w:p w14:paraId="78C35495" w14:textId="77777777" w:rsidR="000373EB" w:rsidRPr="004C0C0E" w:rsidRDefault="000373EB" w:rsidP="000373EB">
      <w:pPr>
        <w:spacing w:after="0"/>
        <w:rPr>
          <w:i/>
          <w:iCs/>
          <w:lang w:val="en-GB"/>
        </w:rPr>
      </w:pPr>
      <w:r w:rsidRPr="004C0C0E">
        <w:rPr>
          <w:i/>
          <w:iCs/>
          <w:lang w:val="en-GB"/>
        </w:rPr>
        <w:t>b) Indicate reasons for being able nevertheless to perform the contract</w:t>
      </w:r>
    </w:p>
    <w:p w14:paraId="7890DB7A" w14:textId="77777777" w:rsidR="000373EB" w:rsidRPr="004C0C0E" w:rsidRDefault="000373EB" w:rsidP="000373EB">
      <w:pPr>
        <w:spacing w:after="80"/>
        <w:rPr>
          <w:i/>
          <w:iCs/>
          <w:lang w:val="en-GB"/>
        </w:rPr>
      </w:pPr>
      <w:r w:rsidRPr="004C0C0E">
        <w:rPr>
          <w:i/>
          <w:iCs/>
          <w:lang w:val="en-GB"/>
        </w:rPr>
        <w:t>c) Is this information available electronically? If "Yes" provide URL, Reference/Code and Issuer</w:t>
      </w:r>
    </w:p>
    <w:p w14:paraId="0AB52EB0" w14:textId="77777777" w:rsidR="000373EB" w:rsidRPr="00E84F83" w:rsidRDefault="000373EB" w:rsidP="000373EB">
      <w:pPr>
        <w:pStyle w:val="Heading5"/>
      </w:pPr>
      <w:r>
        <w:t>C</w:t>
      </w:r>
      <w:r w:rsidRPr="00E84F83">
        <w:t>.6. Arrangement with creditors</w:t>
      </w:r>
    </w:p>
    <w:p w14:paraId="63CCC956" w14:textId="77777777" w:rsidR="000373EB" w:rsidRPr="00E84F83" w:rsidRDefault="000373EB" w:rsidP="000373EB">
      <w:pPr>
        <w:rPr>
          <w:lang w:val="en-GB"/>
        </w:rPr>
      </w:pPr>
      <w:r w:rsidRPr="00E84F83">
        <w:rPr>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4254D94F" w14:textId="77777777" w:rsidR="000373EB" w:rsidRPr="008330C4" w:rsidRDefault="000373EB" w:rsidP="000373EB">
      <w:pPr>
        <w:spacing w:after="0"/>
        <w:rPr>
          <w:i/>
          <w:iCs/>
          <w:lang w:val="en-GB"/>
        </w:rPr>
      </w:pPr>
      <w:r w:rsidRPr="008330C4">
        <w:rPr>
          <w:i/>
          <w:iCs/>
          <w:lang w:val="en-GB"/>
        </w:rPr>
        <w:t>Only if the answer is not "No (Fulfilled)" the tenderer shall complete the comment field with the following information:</w:t>
      </w:r>
    </w:p>
    <w:p w14:paraId="4C218936" w14:textId="77777777" w:rsidR="000373EB" w:rsidRPr="008330C4" w:rsidRDefault="000373EB" w:rsidP="000373EB">
      <w:pPr>
        <w:spacing w:after="0"/>
        <w:rPr>
          <w:i/>
          <w:iCs/>
          <w:lang w:val="en-GB"/>
        </w:rPr>
      </w:pPr>
      <w:r w:rsidRPr="008330C4">
        <w:rPr>
          <w:i/>
          <w:iCs/>
          <w:lang w:val="en-GB"/>
        </w:rPr>
        <w:t>a) Please describe them</w:t>
      </w:r>
    </w:p>
    <w:p w14:paraId="3D99AA78" w14:textId="77777777" w:rsidR="000373EB" w:rsidRPr="008330C4" w:rsidRDefault="000373EB" w:rsidP="000373EB">
      <w:pPr>
        <w:spacing w:after="0"/>
        <w:rPr>
          <w:i/>
          <w:iCs/>
          <w:lang w:val="en-GB"/>
        </w:rPr>
      </w:pPr>
      <w:r w:rsidRPr="008330C4">
        <w:rPr>
          <w:i/>
          <w:iCs/>
          <w:lang w:val="en-GB"/>
        </w:rPr>
        <w:t>b) Indicate reasons for being able nevertheless to perform the contract</w:t>
      </w:r>
    </w:p>
    <w:p w14:paraId="4B2D8CDE" w14:textId="77777777" w:rsidR="000373EB" w:rsidRPr="008330C4" w:rsidRDefault="000373EB" w:rsidP="000373EB">
      <w:pPr>
        <w:spacing w:after="80"/>
        <w:rPr>
          <w:i/>
          <w:iCs/>
          <w:lang w:val="en-GB"/>
        </w:rPr>
      </w:pPr>
      <w:r w:rsidRPr="008330C4">
        <w:rPr>
          <w:i/>
          <w:iCs/>
          <w:lang w:val="en-GB"/>
        </w:rPr>
        <w:t>c) Is this information available electronically? If "Yes" provide URL, Reference/Code and Issuer</w:t>
      </w:r>
    </w:p>
    <w:p w14:paraId="3F43FA5E" w14:textId="77777777" w:rsidR="000373EB" w:rsidRPr="00E84F83" w:rsidRDefault="000373EB" w:rsidP="000373EB">
      <w:pPr>
        <w:pStyle w:val="Heading5"/>
      </w:pPr>
      <w:r>
        <w:t>C</w:t>
      </w:r>
      <w:r w:rsidRPr="00E84F83">
        <w:t>.7. Analogous situation like bankruptcy under national law</w:t>
      </w:r>
    </w:p>
    <w:p w14:paraId="2DE8B0D5" w14:textId="77777777" w:rsidR="000373EB" w:rsidRPr="00E84F83" w:rsidRDefault="000373EB" w:rsidP="000373EB">
      <w:pPr>
        <w:rPr>
          <w:lang w:val="en-GB"/>
        </w:rPr>
      </w:pPr>
      <w:r w:rsidRPr="00E84F83">
        <w:rPr>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52D49632" w14:textId="77777777" w:rsidR="000373EB" w:rsidRPr="008330C4" w:rsidRDefault="000373EB" w:rsidP="000373EB">
      <w:pPr>
        <w:spacing w:after="0"/>
        <w:rPr>
          <w:i/>
          <w:iCs/>
          <w:lang w:val="en-GB"/>
        </w:rPr>
      </w:pPr>
      <w:r w:rsidRPr="008330C4">
        <w:rPr>
          <w:i/>
          <w:iCs/>
          <w:lang w:val="en-GB"/>
        </w:rPr>
        <w:t>Only if the answer is not "No (Fulfilled)" the tenderer shall complete the comment field with the following information:</w:t>
      </w:r>
    </w:p>
    <w:p w14:paraId="4092EC8F" w14:textId="77777777" w:rsidR="000373EB" w:rsidRPr="008330C4" w:rsidRDefault="000373EB" w:rsidP="000373EB">
      <w:pPr>
        <w:spacing w:after="0"/>
        <w:rPr>
          <w:i/>
          <w:iCs/>
          <w:lang w:val="en-GB"/>
        </w:rPr>
      </w:pPr>
      <w:r w:rsidRPr="008330C4">
        <w:rPr>
          <w:i/>
          <w:iCs/>
          <w:lang w:val="en-GB"/>
        </w:rPr>
        <w:t>a) Please describe them</w:t>
      </w:r>
    </w:p>
    <w:p w14:paraId="5F89EF1B" w14:textId="77777777" w:rsidR="000373EB" w:rsidRPr="008330C4" w:rsidRDefault="000373EB" w:rsidP="000373EB">
      <w:pPr>
        <w:spacing w:after="0"/>
        <w:rPr>
          <w:i/>
          <w:iCs/>
          <w:lang w:val="en-GB"/>
        </w:rPr>
      </w:pPr>
      <w:r w:rsidRPr="008330C4">
        <w:rPr>
          <w:i/>
          <w:iCs/>
          <w:lang w:val="en-GB"/>
        </w:rPr>
        <w:t>b) Indicate reasons for being able nevertheless to perform the contract</w:t>
      </w:r>
    </w:p>
    <w:p w14:paraId="49A6D1C0" w14:textId="77777777" w:rsidR="000373EB" w:rsidRPr="008330C4" w:rsidRDefault="000373EB" w:rsidP="000373EB">
      <w:pPr>
        <w:spacing w:after="80"/>
        <w:rPr>
          <w:i/>
          <w:iCs/>
          <w:lang w:val="en-GB"/>
        </w:rPr>
      </w:pPr>
      <w:r w:rsidRPr="008330C4">
        <w:rPr>
          <w:i/>
          <w:iCs/>
          <w:lang w:val="en-GB"/>
        </w:rPr>
        <w:t>c) Is this information available electronically? If "Yes" provide URL, Reference/Code and Issuer</w:t>
      </w:r>
    </w:p>
    <w:p w14:paraId="79F5ACD5" w14:textId="77777777" w:rsidR="000373EB" w:rsidRPr="00E84F83" w:rsidRDefault="000373EB" w:rsidP="000373EB">
      <w:pPr>
        <w:pStyle w:val="Heading5"/>
      </w:pPr>
      <w:r>
        <w:t>C</w:t>
      </w:r>
      <w:r w:rsidRPr="00E84F83">
        <w:t>.8. Assets being administered by liquidator</w:t>
      </w:r>
    </w:p>
    <w:p w14:paraId="60F45C57" w14:textId="77777777" w:rsidR="000373EB" w:rsidRPr="00E84F83" w:rsidRDefault="000373EB" w:rsidP="000373EB">
      <w:pPr>
        <w:rPr>
          <w:lang w:val="en-GB"/>
        </w:rPr>
      </w:pPr>
      <w:r w:rsidRPr="00E84F83">
        <w:rPr>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19876447" w14:textId="77777777" w:rsidR="000373EB" w:rsidRPr="008330C4" w:rsidRDefault="000373EB" w:rsidP="000373EB">
      <w:pPr>
        <w:spacing w:after="0"/>
        <w:rPr>
          <w:i/>
          <w:iCs/>
          <w:lang w:val="en-GB"/>
        </w:rPr>
      </w:pPr>
      <w:r w:rsidRPr="008330C4">
        <w:rPr>
          <w:i/>
          <w:iCs/>
          <w:lang w:val="en-GB"/>
        </w:rPr>
        <w:t>Only if the answer is not "No (Fulfilled)" the tenderer shall complete the comment field with the following information:</w:t>
      </w:r>
    </w:p>
    <w:p w14:paraId="7A1EB621" w14:textId="77777777" w:rsidR="000373EB" w:rsidRPr="008330C4" w:rsidRDefault="000373EB" w:rsidP="000373EB">
      <w:pPr>
        <w:spacing w:after="0"/>
        <w:rPr>
          <w:i/>
          <w:iCs/>
          <w:lang w:val="en-GB"/>
        </w:rPr>
      </w:pPr>
      <w:r w:rsidRPr="008330C4">
        <w:rPr>
          <w:i/>
          <w:iCs/>
          <w:lang w:val="en-GB"/>
        </w:rPr>
        <w:t>a) Please describe them</w:t>
      </w:r>
    </w:p>
    <w:p w14:paraId="073E14FD" w14:textId="77777777" w:rsidR="000373EB" w:rsidRPr="008330C4" w:rsidRDefault="000373EB" w:rsidP="000373EB">
      <w:pPr>
        <w:spacing w:after="0"/>
        <w:rPr>
          <w:i/>
          <w:iCs/>
          <w:lang w:val="en-GB"/>
        </w:rPr>
      </w:pPr>
      <w:r w:rsidRPr="008330C4">
        <w:rPr>
          <w:i/>
          <w:iCs/>
          <w:lang w:val="en-GB"/>
        </w:rPr>
        <w:t>b) Indicate reasons for being able nevertheless to perform the contract</w:t>
      </w:r>
    </w:p>
    <w:p w14:paraId="73B7F145" w14:textId="77777777" w:rsidR="000373EB" w:rsidRPr="008330C4" w:rsidRDefault="000373EB" w:rsidP="000373EB">
      <w:pPr>
        <w:spacing w:after="80"/>
        <w:rPr>
          <w:i/>
          <w:iCs/>
          <w:lang w:val="en-GB"/>
        </w:rPr>
      </w:pPr>
      <w:r w:rsidRPr="008330C4">
        <w:rPr>
          <w:i/>
          <w:iCs/>
          <w:lang w:val="en-GB"/>
        </w:rPr>
        <w:t>c) Is this information available electronically? If "Yes" provide URL, Reference/Code and Issuer</w:t>
      </w:r>
    </w:p>
    <w:p w14:paraId="14C43367" w14:textId="77777777" w:rsidR="000373EB" w:rsidRPr="00744217" w:rsidRDefault="000373EB" w:rsidP="000373EB">
      <w:pPr>
        <w:pStyle w:val="Heading5"/>
      </w:pPr>
      <w:r>
        <w:t>C</w:t>
      </w:r>
      <w:r w:rsidRPr="00E84F83">
        <w:t xml:space="preserve">.9. </w:t>
      </w:r>
      <w:r w:rsidRPr="00744217">
        <w:t>Business activities are suspended</w:t>
      </w:r>
    </w:p>
    <w:p w14:paraId="45F4C41E" w14:textId="77777777" w:rsidR="000373EB" w:rsidRPr="00E84F83" w:rsidRDefault="000373EB" w:rsidP="000373EB">
      <w:pPr>
        <w:rPr>
          <w:lang w:val="en-GB"/>
        </w:rPr>
      </w:pPr>
      <w:r w:rsidRPr="00E84F83">
        <w:rPr>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5A149A99" w14:textId="77777777" w:rsidR="000373EB" w:rsidRPr="008330C4" w:rsidRDefault="000373EB" w:rsidP="000373EB">
      <w:pPr>
        <w:spacing w:after="0"/>
        <w:rPr>
          <w:i/>
          <w:iCs/>
          <w:lang w:val="en-GB"/>
        </w:rPr>
      </w:pPr>
      <w:r w:rsidRPr="008330C4">
        <w:rPr>
          <w:i/>
          <w:iCs/>
          <w:lang w:val="en-GB"/>
        </w:rPr>
        <w:t>Only if the answer is not "No (Fulfilled)" the tenderer shall complete the comment field with the following information:</w:t>
      </w:r>
    </w:p>
    <w:p w14:paraId="637BC868" w14:textId="77777777" w:rsidR="000373EB" w:rsidRPr="008330C4" w:rsidRDefault="000373EB" w:rsidP="000373EB">
      <w:pPr>
        <w:spacing w:after="0"/>
        <w:rPr>
          <w:i/>
          <w:iCs/>
          <w:lang w:val="en-GB"/>
        </w:rPr>
      </w:pPr>
      <w:r w:rsidRPr="008330C4">
        <w:rPr>
          <w:i/>
          <w:iCs/>
          <w:lang w:val="en-GB"/>
        </w:rPr>
        <w:t>a) Please describe them</w:t>
      </w:r>
    </w:p>
    <w:p w14:paraId="1EC41C0B" w14:textId="77777777" w:rsidR="000373EB" w:rsidRPr="008330C4" w:rsidRDefault="000373EB" w:rsidP="000373EB">
      <w:pPr>
        <w:keepNext/>
        <w:spacing w:after="0"/>
        <w:rPr>
          <w:i/>
          <w:iCs/>
          <w:lang w:val="en-GB"/>
        </w:rPr>
      </w:pPr>
      <w:r w:rsidRPr="008330C4">
        <w:rPr>
          <w:i/>
          <w:iCs/>
          <w:lang w:val="en-GB"/>
        </w:rPr>
        <w:lastRenderedPageBreak/>
        <w:t>b) Indicate reasons for being able nevertheless to perform the contract</w:t>
      </w:r>
    </w:p>
    <w:p w14:paraId="647498CD" w14:textId="77777777" w:rsidR="000373EB" w:rsidRPr="008330C4" w:rsidRDefault="000373EB" w:rsidP="000373EB">
      <w:pPr>
        <w:keepNext/>
        <w:spacing w:after="80"/>
        <w:rPr>
          <w:i/>
          <w:iCs/>
          <w:lang w:val="en-GB"/>
        </w:rPr>
      </w:pPr>
      <w:r w:rsidRPr="008330C4">
        <w:rPr>
          <w:i/>
          <w:iCs/>
          <w:lang w:val="en-GB"/>
        </w:rPr>
        <w:t>c) Is this information available electronically? If "Yes" provide URL, Reference/Code and Issuer</w:t>
      </w:r>
    </w:p>
    <w:p w14:paraId="76E202AE" w14:textId="77777777" w:rsidR="000373EB" w:rsidRPr="00E84F83" w:rsidRDefault="000373EB" w:rsidP="000373EB">
      <w:pPr>
        <w:pStyle w:val="Heading5"/>
      </w:pPr>
      <w:r>
        <w:t>C</w:t>
      </w:r>
      <w:r w:rsidRPr="00E84F83">
        <w:t>.10. Agreements with other economic operators aimed at distorting competition</w:t>
      </w:r>
    </w:p>
    <w:p w14:paraId="578DCFE2" w14:textId="77777777" w:rsidR="000373EB" w:rsidRPr="00E84F83" w:rsidRDefault="000373EB" w:rsidP="000373EB">
      <w:pPr>
        <w:rPr>
          <w:lang w:val="en-GB"/>
        </w:rPr>
      </w:pPr>
      <w:r w:rsidRPr="00E84F83">
        <w:rPr>
          <w:lang w:val="en-GB"/>
        </w:rPr>
        <w:t>Has the economic operator entered into agreements with other economic operators aimed at distorting competition?</w:t>
      </w:r>
    </w:p>
    <w:p w14:paraId="766D08E9" w14:textId="77777777" w:rsidR="000373EB" w:rsidRPr="008330C4" w:rsidRDefault="000373EB" w:rsidP="000373EB">
      <w:pPr>
        <w:spacing w:after="0"/>
        <w:rPr>
          <w:i/>
          <w:iCs/>
          <w:lang w:val="en-GB"/>
        </w:rPr>
      </w:pPr>
      <w:r w:rsidRPr="008330C4">
        <w:rPr>
          <w:i/>
          <w:iCs/>
          <w:lang w:val="en-GB"/>
        </w:rPr>
        <w:t>Only if the answer is not "No (Fulfilled)" the tenderer shall complete the comment field with the following information:</w:t>
      </w:r>
    </w:p>
    <w:p w14:paraId="4FFBBD7E" w14:textId="77777777" w:rsidR="000373EB" w:rsidRPr="008330C4" w:rsidRDefault="000373EB" w:rsidP="000373EB">
      <w:pPr>
        <w:spacing w:after="0"/>
        <w:rPr>
          <w:i/>
          <w:iCs/>
          <w:lang w:val="en-GB"/>
        </w:rPr>
      </w:pPr>
      <w:r w:rsidRPr="008330C4">
        <w:rPr>
          <w:i/>
          <w:iCs/>
          <w:lang w:val="en-GB"/>
        </w:rPr>
        <w:t>a) Please describe them</w:t>
      </w:r>
    </w:p>
    <w:p w14:paraId="07A16584" w14:textId="77777777" w:rsidR="000373EB" w:rsidRPr="008330C4" w:rsidRDefault="000373EB" w:rsidP="000373EB">
      <w:pPr>
        <w:spacing w:after="80"/>
        <w:rPr>
          <w:i/>
          <w:iCs/>
          <w:lang w:val="en-GB"/>
        </w:rPr>
      </w:pPr>
      <w:r w:rsidRPr="008330C4">
        <w:rPr>
          <w:i/>
          <w:iCs/>
          <w:lang w:val="en-GB"/>
        </w:rPr>
        <w:t>b) Have you taken measures to demonstrate your reliability ("Self-Cleaning") (Yes/No)? If "Yes", Please describe them</w:t>
      </w:r>
    </w:p>
    <w:p w14:paraId="343CB64D" w14:textId="77777777" w:rsidR="000373EB" w:rsidRPr="00407D69" w:rsidRDefault="000373EB" w:rsidP="000373EB">
      <w:pPr>
        <w:pStyle w:val="Heading5"/>
      </w:pPr>
      <w:r w:rsidRPr="00407D69">
        <w:t>C.11. Guilty of grave professional misconduct</w:t>
      </w:r>
    </w:p>
    <w:p w14:paraId="182A893B" w14:textId="77777777" w:rsidR="000373EB" w:rsidRPr="00E84F83" w:rsidRDefault="000373EB" w:rsidP="000373EB">
      <w:pPr>
        <w:rPr>
          <w:lang w:val="en-GB"/>
        </w:rPr>
      </w:pPr>
      <w:r w:rsidRPr="00E84F83">
        <w:rPr>
          <w:lang w:val="en-GB"/>
        </w:rPr>
        <w:t>Is the economic operator guilty of grave professional misconduct? Where applicable, see definitions in national law, the relevant notice or the procurement documents.</w:t>
      </w:r>
    </w:p>
    <w:p w14:paraId="32DF6D6F" w14:textId="77777777" w:rsidR="000373EB" w:rsidRPr="008330C4" w:rsidRDefault="000373EB" w:rsidP="000373EB">
      <w:pPr>
        <w:spacing w:after="0"/>
        <w:rPr>
          <w:i/>
          <w:iCs/>
          <w:lang w:val="en-GB"/>
        </w:rPr>
      </w:pPr>
      <w:r w:rsidRPr="008330C4">
        <w:rPr>
          <w:i/>
          <w:iCs/>
          <w:lang w:val="en-GB"/>
        </w:rPr>
        <w:t>Only if the answer is not "No (Fulfilled)" the tenderer shall complete the comment field with the following information:</w:t>
      </w:r>
    </w:p>
    <w:p w14:paraId="4075FC5D" w14:textId="77777777" w:rsidR="000373EB" w:rsidRPr="008330C4" w:rsidRDefault="000373EB" w:rsidP="000373EB">
      <w:pPr>
        <w:spacing w:after="0"/>
        <w:rPr>
          <w:i/>
          <w:iCs/>
          <w:lang w:val="en-GB"/>
        </w:rPr>
      </w:pPr>
      <w:r w:rsidRPr="008330C4">
        <w:rPr>
          <w:i/>
          <w:iCs/>
          <w:lang w:val="en-GB"/>
        </w:rPr>
        <w:t>a) Please describe them</w:t>
      </w:r>
    </w:p>
    <w:p w14:paraId="095F48BD" w14:textId="77777777" w:rsidR="000373EB" w:rsidRPr="008330C4" w:rsidRDefault="000373EB" w:rsidP="000373EB">
      <w:pPr>
        <w:spacing w:after="80"/>
        <w:rPr>
          <w:i/>
          <w:iCs/>
          <w:lang w:val="en-GB"/>
        </w:rPr>
      </w:pPr>
      <w:r w:rsidRPr="008330C4">
        <w:rPr>
          <w:i/>
          <w:iCs/>
          <w:lang w:val="en-GB"/>
        </w:rPr>
        <w:t>b) Have you taken measures to demonstrate your reliability ("Self-Cleaning") (Yes/No)? If "Yes", Please describe them</w:t>
      </w:r>
    </w:p>
    <w:p w14:paraId="328BE2DB" w14:textId="77777777" w:rsidR="000373EB" w:rsidRPr="00407D69" w:rsidRDefault="000373EB" w:rsidP="000373EB">
      <w:pPr>
        <w:pStyle w:val="Heading5"/>
      </w:pPr>
      <w:r w:rsidRPr="00407D69">
        <w:t>C.12. Conflict of interest due to its participation in the procurement procedure</w:t>
      </w:r>
    </w:p>
    <w:p w14:paraId="3B8AC639" w14:textId="77777777" w:rsidR="000373EB" w:rsidRPr="00E84F83" w:rsidRDefault="000373EB" w:rsidP="000373EB">
      <w:pPr>
        <w:rPr>
          <w:lang w:val="en-GB"/>
        </w:rPr>
      </w:pPr>
      <w:r w:rsidRPr="00E84F83">
        <w:rPr>
          <w:lang w:val="en-GB"/>
        </w:rPr>
        <w:t>Is the economic operator aware of any conflict of interest, as indicated in national law, the relevant notice or the procurement documents due to its participation in the procurement procedure?</w:t>
      </w:r>
    </w:p>
    <w:p w14:paraId="55E34A4E" w14:textId="77777777" w:rsidR="000373EB" w:rsidRPr="008330C4" w:rsidRDefault="000373EB" w:rsidP="000373EB">
      <w:pPr>
        <w:spacing w:after="0"/>
        <w:rPr>
          <w:i/>
          <w:iCs/>
          <w:lang w:val="en-GB"/>
        </w:rPr>
      </w:pPr>
      <w:r w:rsidRPr="008330C4">
        <w:rPr>
          <w:i/>
          <w:iCs/>
          <w:lang w:val="en-GB"/>
        </w:rPr>
        <w:t>Only if the answer is not "No (Fulfilled)" the tenderer shall complete the comment field with the following information:</w:t>
      </w:r>
    </w:p>
    <w:p w14:paraId="0BA664C3" w14:textId="77777777" w:rsidR="000373EB" w:rsidRPr="008330C4" w:rsidRDefault="000373EB" w:rsidP="000373EB">
      <w:pPr>
        <w:spacing w:after="80"/>
        <w:rPr>
          <w:i/>
          <w:iCs/>
          <w:lang w:val="en-GB"/>
        </w:rPr>
      </w:pPr>
      <w:r w:rsidRPr="008330C4">
        <w:rPr>
          <w:i/>
          <w:iCs/>
          <w:lang w:val="en-GB"/>
        </w:rPr>
        <w:t>a) Please describe them</w:t>
      </w:r>
    </w:p>
    <w:p w14:paraId="5CA570E7" w14:textId="77777777" w:rsidR="000373EB" w:rsidRPr="00E84F83" w:rsidRDefault="000373EB" w:rsidP="000373EB">
      <w:pPr>
        <w:pStyle w:val="Heading5"/>
      </w:pPr>
      <w:r>
        <w:t>C</w:t>
      </w:r>
      <w:r w:rsidRPr="00E84F83">
        <w:t>.13. Direct or indirect involvement in the preparation of this procurement procedure</w:t>
      </w:r>
    </w:p>
    <w:p w14:paraId="51E946ED" w14:textId="77777777" w:rsidR="000373EB" w:rsidRPr="00E84F83" w:rsidRDefault="000373EB" w:rsidP="000373EB">
      <w:pPr>
        <w:keepNext/>
        <w:rPr>
          <w:lang w:val="en-GB"/>
        </w:rPr>
      </w:pPr>
      <w:r w:rsidRPr="00E84F83">
        <w:rPr>
          <w:lang w:val="en-GB"/>
        </w:rPr>
        <w:t>Has the economic operator or an undertaking related to it advised the contracting authority or contracting entity or otherwise been involved in the preparation of the procurement procedure?</w:t>
      </w:r>
    </w:p>
    <w:p w14:paraId="7D52D958" w14:textId="77777777" w:rsidR="000373EB" w:rsidRPr="008330C4" w:rsidRDefault="000373EB" w:rsidP="000373EB">
      <w:pPr>
        <w:keepNext/>
        <w:spacing w:after="0"/>
        <w:rPr>
          <w:i/>
          <w:iCs/>
          <w:lang w:val="en-GB"/>
        </w:rPr>
      </w:pPr>
      <w:r w:rsidRPr="008330C4">
        <w:rPr>
          <w:i/>
          <w:iCs/>
          <w:lang w:val="en-GB"/>
        </w:rPr>
        <w:t>Only if the answer is not "No (Fulfilled)" the tenderer shall complete the comment field with the following information:</w:t>
      </w:r>
    </w:p>
    <w:p w14:paraId="6E6910B5" w14:textId="77777777" w:rsidR="000373EB" w:rsidRPr="008330C4" w:rsidRDefault="000373EB" w:rsidP="000373EB">
      <w:pPr>
        <w:spacing w:after="80"/>
        <w:rPr>
          <w:i/>
          <w:iCs/>
          <w:lang w:val="en-GB"/>
        </w:rPr>
      </w:pPr>
      <w:r w:rsidRPr="008330C4">
        <w:rPr>
          <w:i/>
          <w:iCs/>
          <w:lang w:val="en-GB"/>
        </w:rPr>
        <w:t>a) Please describe them</w:t>
      </w:r>
    </w:p>
    <w:p w14:paraId="4EFA848A" w14:textId="77777777" w:rsidR="000373EB" w:rsidRPr="00E84F83" w:rsidRDefault="000373EB" w:rsidP="000373EB">
      <w:pPr>
        <w:pStyle w:val="Heading5"/>
      </w:pPr>
      <w:r>
        <w:t>C</w:t>
      </w:r>
      <w:r w:rsidRPr="00E84F83">
        <w:t>.14. Early termination, damages or other comparable sanctions</w:t>
      </w:r>
    </w:p>
    <w:p w14:paraId="7BBB75E6" w14:textId="77777777" w:rsidR="000373EB" w:rsidRPr="00E84F83" w:rsidRDefault="000373EB" w:rsidP="000373EB">
      <w:pPr>
        <w:rPr>
          <w:lang w:val="en-GB"/>
        </w:rPr>
      </w:pPr>
      <w:r w:rsidRPr="00E84F83">
        <w:rPr>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61A6FB9A" w14:textId="77777777" w:rsidR="000373EB" w:rsidRPr="008330C4" w:rsidRDefault="000373EB" w:rsidP="000373EB">
      <w:pPr>
        <w:spacing w:after="0"/>
        <w:rPr>
          <w:i/>
          <w:iCs/>
          <w:lang w:val="en-GB"/>
        </w:rPr>
      </w:pPr>
      <w:r w:rsidRPr="008330C4">
        <w:rPr>
          <w:i/>
          <w:iCs/>
          <w:lang w:val="en-GB"/>
        </w:rPr>
        <w:t>Only if the answer is not "No (Fulfilled)" the tenderer shall complete the comment field with the following information:</w:t>
      </w:r>
    </w:p>
    <w:p w14:paraId="5E0F374F" w14:textId="77777777" w:rsidR="000373EB" w:rsidRPr="008330C4" w:rsidRDefault="000373EB" w:rsidP="000373EB">
      <w:pPr>
        <w:spacing w:after="0"/>
        <w:rPr>
          <w:i/>
          <w:iCs/>
          <w:lang w:val="en-GB"/>
        </w:rPr>
      </w:pPr>
      <w:r w:rsidRPr="008330C4">
        <w:rPr>
          <w:i/>
          <w:iCs/>
          <w:lang w:val="en-GB"/>
        </w:rPr>
        <w:t>a) Please describe them</w:t>
      </w:r>
    </w:p>
    <w:p w14:paraId="08C9AEEA" w14:textId="77777777" w:rsidR="000373EB" w:rsidRPr="008330C4" w:rsidRDefault="000373EB" w:rsidP="000373EB">
      <w:pPr>
        <w:spacing w:after="80"/>
        <w:rPr>
          <w:i/>
          <w:iCs/>
          <w:lang w:val="en-GB"/>
        </w:rPr>
      </w:pPr>
      <w:r w:rsidRPr="008330C4">
        <w:rPr>
          <w:i/>
          <w:iCs/>
          <w:lang w:val="en-GB"/>
        </w:rPr>
        <w:t>b) Have you taken measures to demonstrate your reliability ("Self-Cleaning") (Yes/No)? If "Yes", Please describe them</w:t>
      </w:r>
    </w:p>
    <w:p w14:paraId="4183BBF8" w14:textId="77777777" w:rsidR="000373EB" w:rsidRPr="00E84F83" w:rsidRDefault="000373EB" w:rsidP="000373EB">
      <w:pPr>
        <w:pStyle w:val="Heading4"/>
      </w:pPr>
      <w:r>
        <w:t>C</w:t>
      </w:r>
      <w:r w:rsidRPr="00E84F83">
        <w:t>.15. Guilty of misinterpretation, withheld information, unable to provide required documents and obtained confidential information of this procedure</w:t>
      </w:r>
    </w:p>
    <w:p w14:paraId="75CEDE8D" w14:textId="77777777" w:rsidR="000373EB" w:rsidRPr="00E84F83" w:rsidRDefault="000373EB" w:rsidP="000373EB">
      <w:pPr>
        <w:rPr>
          <w:lang w:val="en-GB"/>
        </w:rPr>
      </w:pPr>
      <w:r w:rsidRPr="00E84F83">
        <w:rPr>
          <w:lang w:val="en-GB"/>
        </w:rPr>
        <w:t>Can the economic operator confirm that:</w:t>
      </w:r>
    </w:p>
    <w:p w14:paraId="1C3CAFAD" w14:textId="77777777" w:rsidR="000373EB" w:rsidRPr="00E84F83" w:rsidRDefault="000373EB" w:rsidP="000373EB">
      <w:pPr>
        <w:rPr>
          <w:lang w:val="en-GB"/>
        </w:rPr>
      </w:pPr>
      <w:r w:rsidRPr="00E84F83">
        <w:rPr>
          <w:lang w:val="en-GB"/>
        </w:rPr>
        <w:lastRenderedPageBreak/>
        <w:t>a) It has been guilty of serious misrepresentation in supplying the information required for the verification of the absence of grounds for exclusion or the fulfilment of the selection criteria,</w:t>
      </w:r>
    </w:p>
    <w:p w14:paraId="5F2C3B6A" w14:textId="77777777" w:rsidR="000373EB" w:rsidRPr="00E84F83" w:rsidRDefault="000373EB" w:rsidP="000373EB">
      <w:pPr>
        <w:rPr>
          <w:lang w:val="en-GB"/>
        </w:rPr>
      </w:pPr>
      <w:r w:rsidRPr="00E84F83">
        <w:rPr>
          <w:lang w:val="en-GB"/>
        </w:rPr>
        <w:t>b) It has withheld such information,</w:t>
      </w:r>
    </w:p>
    <w:p w14:paraId="3EF03ADB" w14:textId="77777777" w:rsidR="000373EB" w:rsidRPr="00E84F83" w:rsidRDefault="000373EB" w:rsidP="000373EB">
      <w:pPr>
        <w:rPr>
          <w:lang w:val="en-GB"/>
        </w:rPr>
      </w:pPr>
      <w:r w:rsidRPr="00E84F83">
        <w:rPr>
          <w:lang w:val="en-GB"/>
        </w:rPr>
        <w:t>c) It has not been able, without delay, to submit the supporting documents required by a contracting authority or contracting entity, and</w:t>
      </w:r>
    </w:p>
    <w:p w14:paraId="210ECC3C" w14:textId="77777777" w:rsidR="000373EB" w:rsidRPr="00E84F83" w:rsidRDefault="000373EB" w:rsidP="000373EB">
      <w:pPr>
        <w:rPr>
          <w:lang w:val="en-GB"/>
        </w:rPr>
      </w:pPr>
      <w:r w:rsidRPr="00E84F83">
        <w:rPr>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4FBDEA1F" w14:textId="77777777" w:rsidR="000373EB" w:rsidRPr="008330C4" w:rsidRDefault="000373EB" w:rsidP="000373EB">
      <w:pPr>
        <w:spacing w:after="80"/>
        <w:rPr>
          <w:i/>
          <w:iCs/>
          <w:lang w:val="en-GB"/>
        </w:rPr>
      </w:pPr>
      <w:r w:rsidRPr="008330C4">
        <w:rPr>
          <w:i/>
          <w:iCs/>
          <w:lang w:val="en-GB"/>
        </w:rPr>
        <w:t>Only if the answer is not "No (Fulfilled)" the tenderer shall complete the comment field with a description of the circumstances.</w:t>
      </w:r>
    </w:p>
    <w:p w14:paraId="3CEE0AC0" w14:textId="42D2FD69" w:rsidR="002E4DBA" w:rsidRPr="002E4DBA" w:rsidRDefault="002E4DBA" w:rsidP="002E4DBA">
      <w:pPr>
        <w:pStyle w:val="Heading2"/>
      </w:pPr>
      <w:bookmarkStart w:id="3" w:name="_Toc505957905"/>
      <w:r>
        <w:t xml:space="preserve">3.7 </w:t>
      </w:r>
      <w:r w:rsidRPr="002E4DBA">
        <w:t>Qualification requirements</w:t>
      </w:r>
    </w:p>
    <w:p w14:paraId="36BE255C" w14:textId="325AF8C3" w:rsidR="005A2CDB" w:rsidRPr="005A2CDB" w:rsidRDefault="005A2CDB" w:rsidP="002E4DBA">
      <w:pPr>
        <w:pStyle w:val="Heading3"/>
      </w:pPr>
      <w:r>
        <w:t>3.</w:t>
      </w:r>
      <w:r w:rsidR="002E4DBA">
        <w:t>7.1</w:t>
      </w:r>
      <w:r w:rsidRPr="005A2CDB">
        <w:t xml:space="preserve"> Suitability</w:t>
      </w:r>
      <w:bookmarkEnd w:id="3"/>
    </w:p>
    <w:p w14:paraId="37AC1563" w14:textId="77777777" w:rsidR="005A2CDB" w:rsidRPr="00D638FA" w:rsidRDefault="005A2CDB" w:rsidP="005A2CDB">
      <w:pPr>
        <w:pStyle w:val="Heading4"/>
      </w:pPr>
      <w:r w:rsidRPr="00D638FA">
        <w:t>Registration in a trade register</w:t>
      </w:r>
    </w:p>
    <w:p w14:paraId="5FBD3E12" w14:textId="77777777" w:rsidR="005A2CDB" w:rsidRPr="009933B9" w:rsidRDefault="005A2CDB" w:rsidP="005A2CDB">
      <w:r w:rsidRPr="009933B9">
        <w:rPr>
          <w:lang w:val="en-GB" w:bidi="en-GB"/>
        </w:rPr>
        <w:t xml:space="preserve">The tenderer shall be registered in a company, trade or association register or a corresponding register used by the company </w:t>
      </w:r>
      <w:r>
        <w:rPr>
          <w:lang w:val="en-GB" w:bidi="en-GB"/>
        </w:rPr>
        <w:t>i</w:t>
      </w:r>
      <w:r w:rsidRPr="009933B9">
        <w:rPr>
          <w:lang w:val="en-GB" w:bidi="en-GB"/>
        </w:rPr>
        <w:t>n which the tenderer’s business is located.</w:t>
      </w:r>
    </w:p>
    <w:p w14:paraId="7A0320D6" w14:textId="77777777" w:rsidR="005A2CDB" w:rsidRPr="009933B9" w:rsidRDefault="005A2CDB" w:rsidP="005A2CDB">
      <w:r w:rsidRPr="009933B9">
        <w:rPr>
          <w:lang w:val="en-GB" w:bidi="en-GB"/>
        </w:rPr>
        <w:t>Swedish tenderers shall be registered for VAT (if not exempt from the payment of value added tax) and possess an F-tax card.</w:t>
      </w:r>
      <w:r>
        <w:rPr>
          <w:lang w:val="en-GB" w:bidi="en-GB"/>
        </w:rPr>
        <w:t xml:space="preserve"> Non-Swedish tenderers shall be registered for VAT </w:t>
      </w:r>
      <w:r w:rsidRPr="009933B9">
        <w:rPr>
          <w:lang w:val="en-GB" w:bidi="en-GB"/>
        </w:rPr>
        <w:t>(if not exempt from the payment of value added tax) and possess a</w:t>
      </w:r>
      <w:r>
        <w:rPr>
          <w:lang w:val="en-GB" w:bidi="en-GB"/>
        </w:rPr>
        <w:t xml:space="preserve"> Tax Identification Number (TIN).</w:t>
      </w:r>
    </w:p>
    <w:p w14:paraId="5D0D4004" w14:textId="731957DB" w:rsidR="002D3B73" w:rsidRPr="001C1222" w:rsidRDefault="002D3B73" w:rsidP="001C1222">
      <w:pPr>
        <w:pStyle w:val="Heading1"/>
        <w:keepLines w:val="0"/>
      </w:pPr>
      <w:r w:rsidRPr="001C1222">
        <w:lastRenderedPageBreak/>
        <w:t>4. Requirements for services</w:t>
      </w:r>
    </w:p>
    <w:p w14:paraId="605DC26D" w14:textId="5FEE4452" w:rsidR="002D3B73" w:rsidRDefault="002D3B73" w:rsidP="001C1222">
      <w:pPr>
        <w:rPr>
          <w:lang w:val="en-GB" w:bidi="en-GB"/>
        </w:rPr>
      </w:pPr>
      <w:r>
        <w:rPr>
          <w:lang w:val="en-GB" w:bidi="en-GB"/>
        </w:rPr>
        <w:t>The template for this section should act as an aid when formulating a specification of requirements. The template in this section should be adapted to each individual procurement and is not mandatory for the person designing the procurement document.</w:t>
      </w:r>
    </w:p>
    <w:p w14:paraId="0942D9B2" w14:textId="64A643D3" w:rsidR="008448A9" w:rsidRDefault="008448A9" w:rsidP="008448A9"/>
    <w:p w14:paraId="75DA4EBB" w14:textId="2ECE73D6" w:rsidR="003B07DB" w:rsidRPr="003B07DB" w:rsidRDefault="008B19FC" w:rsidP="003B07DB">
      <w:pPr>
        <w:pStyle w:val="Heading2"/>
        <w:rPr>
          <w:color w:val="FF0000"/>
        </w:rPr>
      </w:pPr>
      <w:hyperlink r:id="rId16" w:history="1">
        <w:r w:rsidR="003B07DB" w:rsidRPr="001C1222">
          <w:rPr>
            <w:rStyle w:val="Heading2Char"/>
            <w:b/>
          </w:rPr>
          <w:t>4.1. Subcontractors</w:t>
        </w:r>
      </w:hyperlink>
      <w:r w:rsidR="003B07DB" w:rsidRPr="001C1222">
        <w:rPr>
          <w:rStyle w:val="Heading2Char"/>
          <w:b/>
        </w:rPr>
        <w:t xml:space="preserve"> for the implementation of the assignment </w:t>
      </w:r>
    </w:p>
    <w:p w14:paraId="2A09CD0C" w14:textId="0525583A" w:rsidR="008448A9" w:rsidRPr="008448A9" w:rsidRDefault="008448A9" w:rsidP="008448A9">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 xml:space="preserve">The tenderer has the opportunity to hire a subcontractor / s to carry out the assignment. A subcontractor is a supplier who assists the tenderer with the services covered by this </w:t>
      </w:r>
      <w:proofErr w:type="gramStart"/>
      <w:r w:rsidRPr="008448A9">
        <w:rPr>
          <w:rFonts w:asciiTheme="minorHAnsi" w:eastAsia="Times New Roman" w:hAnsiTheme="minorHAnsi" w:cs="Arial"/>
          <w:color w:val="000000"/>
          <w:szCs w:val="24"/>
          <w:lang w:val="en-GB" w:eastAsia="sv-SE"/>
        </w:rPr>
        <w:t>procurement</w:t>
      </w:r>
      <w:proofErr w:type="gramEnd"/>
      <w:r w:rsidRPr="008448A9">
        <w:rPr>
          <w:rFonts w:asciiTheme="minorHAnsi" w:eastAsia="Times New Roman" w:hAnsiTheme="minorHAnsi" w:cs="Arial"/>
          <w:color w:val="000000"/>
          <w:szCs w:val="24"/>
          <w:lang w:val="en-GB" w:eastAsia="sv-SE"/>
        </w:rPr>
        <w:t xml:space="preserve"> and which are not invoked to ensure </w:t>
      </w:r>
      <w:bookmarkStart w:id="4" w:name="_Hlk67908717"/>
      <w:r w:rsidRPr="008448A9">
        <w:rPr>
          <w:rFonts w:asciiTheme="minorHAnsi" w:eastAsia="Times New Roman" w:hAnsiTheme="minorHAnsi" w:cs="Arial"/>
          <w:color w:val="000000"/>
          <w:szCs w:val="24"/>
          <w:lang w:val="en-GB" w:eastAsia="sv-SE"/>
        </w:rPr>
        <w:t>economic, technical and professional capacity. Such suppliers who supply various goods and services to the tenderer are not</w:t>
      </w:r>
      <w:r w:rsidR="00FA422F">
        <w:rPr>
          <w:rFonts w:asciiTheme="minorHAnsi" w:eastAsia="Times New Roman" w:hAnsiTheme="minorHAnsi" w:cs="Arial"/>
          <w:color w:val="000000"/>
          <w:szCs w:val="24"/>
          <w:lang w:val="en-GB" w:eastAsia="sv-SE"/>
        </w:rPr>
        <w:t xml:space="preserve"> </w:t>
      </w:r>
      <w:r w:rsidRPr="008448A9">
        <w:rPr>
          <w:rFonts w:asciiTheme="minorHAnsi" w:eastAsia="Times New Roman" w:hAnsiTheme="minorHAnsi" w:cs="Arial"/>
          <w:color w:val="000000"/>
          <w:szCs w:val="24"/>
          <w:lang w:val="en-GB" w:eastAsia="sv-SE"/>
        </w:rPr>
        <w:t>either to be considered as subcontractors.</w:t>
      </w:r>
      <w:bookmarkEnd w:id="4"/>
    </w:p>
    <w:p w14:paraId="550C1169" w14:textId="77777777" w:rsidR="008448A9" w:rsidRPr="008448A9" w:rsidRDefault="008448A9" w:rsidP="008448A9">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If a subcontractor (s) will be engaged for the execution of the assignment, the following information must be stated about the subcontractor (s) in the tender:</w:t>
      </w:r>
    </w:p>
    <w:p w14:paraId="4B04D0FF" w14:textId="77777777" w:rsidR="008448A9" w:rsidRPr="008448A9" w:rsidRDefault="008448A9" w:rsidP="008448A9">
      <w:pPr>
        <w:numPr>
          <w:ilvl w:val="0"/>
          <w:numId w:val="30"/>
        </w:numPr>
        <w:spacing w:after="0" w:line="184" w:lineRule="atLeast"/>
        <w:ind w:left="1227" w:firstLine="0"/>
        <w:rPr>
          <w:rFonts w:asciiTheme="minorHAnsi" w:eastAsia="Times New Roman" w:hAnsiTheme="minorHAnsi" w:cs="Times New Roman"/>
          <w:color w:val="000000"/>
          <w:szCs w:val="24"/>
          <w:lang w:val="sv-SE" w:eastAsia="sv-SE"/>
        </w:rPr>
      </w:pPr>
      <w:proofErr w:type="spellStart"/>
      <w:r w:rsidRPr="008448A9">
        <w:rPr>
          <w:rFonts w:asciiTheme="minorHAnsi" w:eastAsia="Times New Roman" w:hAnsiTheme="minorHAnsi" w:cs="Arial"/>
          <w:color w:val="000000"/>
          <w:szCs w:val="24"/>
          <w:lang w:val="sv-SE" w:eastAsia="sv-SE"/>
        </w:rPr>
        <w:t>Name</w:t>
      </w:r>
      <w:proofErr w:type="spellEnd"/>
    </w:p>
    <w:p w14:paraId="12D2970A" w14:textId="77777777" w:rsidR="008448A9" w:rsidRPr="008448A9" w:rsidRDefault="008448A9" w:rsidP="008448A9">
      <w:pPr>
        <w:numPr>
          <w:ilvl w:val="0"/>
          <w:numId w:val="30"/>
        </w:numPr>
        <w:spacing w:after="0" w:line="184" w:lineRule="atLeast"/>
        <w:ind w:left="1227" w:firstLine="0"/>
        <w:rPr>
          <w:rFonts w:asciiTheme="minorHAnsi" w:eastAsia="Times New Roman" w:hAnsiTheme="minorHAnsi" w:cs="Times New Roman"/>
          <w:color w:val="000000"/>
          <w:szCs w:val="24"/>
          <w:lang w:val="sv-SE" w:eastAsia="sv-SE"/>
        </w:rPr>
      </w:pPr>
      <w:proofErr w:type="spellStart"/>
      <w:r w:rsidRPr="008448A9">
        <w:rPr>
          <w:rFonts w:asciiTheme="minorHAnsi" w:eastAsia="Times New Roman" w:hAnsiTheme="minorHAnsi" w:cs="Arial"/>
          <w:color w:val="000000"/>
          <w:szCs w:val="24"/>
          <w:lang w:val="sv-SE" w:eastAsia="sv-SE"/>
        </w:rPr>
        <w:t>Organization</w:t>
      </w:r>
      <w:proofErr w:type="spellEnd"/>
      <w:r w:rsidRPr="008448A9">
        <w:rPr>
          <w:rFonts w:asciiTheme="minorHAnsi" w:eastAsia="Times New Roman" w:hAnsiTheme="minorHAnsi" w:cs="Arial"/>
          <w:color w:val="000000"/>
          <w:szCs w:val="24"/>
          <w:lang w:val="sv-SE" w:eastAsia="sv-SE"/>
        </w:rPr>
        <w:t xml:space="preserve"> </w:t>
      </w:r>
      <w:proofErr w:type="spellStart"/>
      <w:r w:rsidRPr="008448A9">
        <w:rPr>
          <w:rFonts w:asciiTheme="minorHAnsi" w:eastAsia="Times New Roman" w:hAnsiTheme="minorHAnsi" w:cs="Arial"/>
          <w:color w:val="000000"/>
          <w:szCs w:val="24"/>
          <w:lang w:val="sv-SE" w:eastAsia="sv-SE"/>
        </w:rPr>
        <w:t>number</w:t>
      </w:r>
      <w:proofErr w:type="spellEnd"/>
    </w:p>
    <w:p w14:paraId="33F90A4A" w14:textId="77777777" w:rsidR="008448A9" w:rsidRPr="008448A9" w:rsidRDefault="008448A9" w:rsidP="008448A9">
      <w:pPr>
        <w:numPr>
          <w:ilvl w:val="0"/>
          <w:numId w:val="30"/>
        </w:numPr>
        <w:spacing w:line="184" w:lineRule="atLeast"/>
        <w:ind w:left="1227" w:firstLine="0"/>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Tasks that subcontractor (s) will perform</w:t>
      </w:r>
    </w:p>
    <w:p w14:paraId="740C8070" w14:textId="0344B24F" w:rsidR="008448A9" w:rsidRPr="008448A9" w:rsidRDefault="008448A9" w:rsidP="008448A9">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At the request of Sida, a tenderer who hires a subcontractor (s) to carry out the assignment, by means of a certificate or copy of a signed cooperation agreement, must demonstrate a cooperation relationship with the subcontractor (s) that is valid throughout the framework agreement period.</w:t>
      </w:r>
    </w:p>
    <w:p w14:paraId="1EA83470" w14:textId="7C7E41F0" w:rsidR="008448A9" w:rsidRPr="008448A9" w:rsidRDefault="008448A9" w:rsidP="008448A9">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color w:val="000000"/>
          <w:szCs w:val="24"/>
          <w:lang w:val="en-GB" w:eastAsia="sv-SE"/>
        </w:rPr>
        <w:t xml:space="preserve">The tenderer is responsible for the subcontractor's work as for his own work. The tenderer is also responsible for the subcontractor complying with requirements, </w:t>
      </w:r>
      <w:proofErr w:type="gramStart"/>
      <w:r w:rsidRPr="008448A9">
        <w:rPr>
          <w:rFonts w:asciiTheme="minorHAnsi" w:eastAsia="Times New Roman" w:hAnsiTheme="minorHAnsi" w:cs="Arial"/>
          <w:color w:val="000000"/>
          <w:szCs w:val="24"/>
          <w:lang w:val="en-GB" w:eastAsia="sv-SE"/>
        </w:rPr>
        <w:t>criteria</w:t>
      </w:r>
      <w:proofErr w:type="gramEnd"/>
      <w:r w:rsidRPr="008448A9">
        <w:rPr>
          <w:rFonts w:asciiTheme="minorHAnsi" w:eastAsia="Times New Roman" w:hAnsiTheme="minorHAnsi" w:cs="Arial"/>
          <w:color w:val="000000"/>
          <w:szCs w:val="24"/>
          <w:lang w:val="en-GB" w:eastAsia="sv-SE"/>
        </w:rPr>
        <w:t xml:space="preserve"> and conditions in the framework agreement</w:t>
      </w:r>
      <w:r w:rsidR="00954C5E">
        <w:rPr>
          <w:rFonts w:asciiTheme="minorHAnsi" w:eastAsia="Times New Roman" w:hAnsiTheme="minorHAnsi" w:cs="Arial"/>
          <w:color w:val="000000"/>
          <w:szCs w:val="24"/>
          <w:lang w:val="en-GB" w:eastAsia="sv-SE"/>
        </w:rPr>
        <w:t>.</w:t>
      </w:r>
    </w:p>
    <w:p w14:paraId="35F067F5" w14:textId="6B954B11" w:rsidR="008448A9" w:rsidRPr="008448A9" w:rsidRDefault="008448A9" w:rsidP="008448A9">
      <w:pPr>
        <w:spacing w:line="184" w:lineRule="atLeast"/>
        <w:rPr>
          <w:rFonts w:asciiTheme="minorHAnsi" w:eastAsia="Times New Roman" w:hAnsiTheme="minorHAnsi" w:cs="Times New Roman"/>
          <w:color w:val="000000"/>
          <w:szCs w:val="24"/>
          <w:lang w:val="en-GB" w:eastAsia="sv-SE"/>
        </w:rPr>
      </w:pPr>
      <w:r w:rsidRPr="008448A9">
        <w:rPr>
          <w:rFonts w:asciiTheme="minorHAnsi" w:eastAsia="Times New Roman" w:hAnsiTheme="minorHAnsi" w:cs="Arial"/>
          <w:b/>
          <w:bCs/>
          <w:color w:val="000000"/>
          <w:szCs w:val="24"/>
          <w:lang w:val="en-GB" w:eastAsia="sv-SE"/>
        </w:rPr>
        <w:t xml:space="preserve">NOTE: </w:t>
      </w:r>
      <w:r w:rsidRPr="008448A9">
        <w:rPr>
          <w:rFonts w:asciiTheme="minorHAnsi" w:eastAsia="Times New Roman" w:hAnsiTheme="minorHAnsi" w:cs="Arial"/>
          <w:color w:val="000000"/>
          <w:szCs w:val="24"/>
          <w:lang w:val="en-GB" w:eastAsia="sv-SE"/>
        </w:rPr>
        <w:t>The subcontractor (s) to be used for the performance of the requested services (</w:t>
      </w:r>
      <w:proofErr w:type="spellStart"/>
      <w:r w:rsidRPr="008448A9">
        <w:rPr>
          <w:rFonts w:asciiTheme="minorHAnsi" w:eastAsia="Times New Roman" w:hAnsiTheme="minorHAnsi" w:cs="Arial"/>
          <w:color w:val="000000"/>
          <w:szCs w:val="24"/>
          <w:lang w:val="en-GB" w:eastAsia="sv-SE"/>
        </w:rPr>
        <w:t>ie</w:t>
      </w:r>
      <w:proofErr w:type="spellEnd"/>
      <w:r w:rsidRPr="008448A9">
        <w:rPr>
          <w:rFonts w:asciiTheme="minorHAnsi" w:eastAsia="Times New Roman" w:hAnsiTheme="minorHAnsi" w:cs="Arial"/>
          <w:color w:val="000000"/>
          <w:szCs w:val="24"/>
          <w:lang w:val="en-GB" w:eastAsia="sv-SE"/>
        </w:rPr>
        <w:t xml:space="preserve"> the object of the procurement) are not to be considered as invoked companies in terms of financial, technical and professional capacity. See further under point 3.2.</w:t>
      </w:r>
    </w:p>
    <w:p w14:paraId="0D666A67" w14:textId="28B9F090" w:rsidR="00A01992" w:rsidRPr="00A01992" w:rsidRDefault="00A01992" w:rsidP="00A01992">
      <w:pPr>
        <w:pStyle w:val="NoSpacing"/>
        <w:rPr>
          <w:b/>
          <w:bCs/>
          <w:lang w:val="en-GB" w:eastAsia="sv-SE"/>
        </w:rPr>
      </w:pPr>
      <w:r>
        <w:rPr>
          <w:b/>
          <w:bCs/>
          <w:lang w:val="en-GB" w:eastAsia="sv-SE"/>
        </w:rPr>
        <w:t xml:space="preserve">Will </w:t>
      </w:r>
      <w:r w:rsidRPr="00A01992">
        <w:rPr>
          <w:b/>
          <w:bCs/>
          <w:lang w:val="en-GB" w:eastAsia="sv-SE"/>
        </w:rPr>
        <w:t xml:space="preserve">the tenderer </w:t>
      </w:r>
      <w:r>
        <w:rPr>
          <w:b/>
          <w:bCs/>
          <w:lang w:val="en-GB" w:eastAsia="sv-SE"/>
        </w:rPr>
        <w:t>engage subcontractor(s)</w:t>
      </w:r>
      <w:r w:rsidRPr="00A01992">
        <w:rPr>
          <w:b/>
          <w:bCs/>
          <w:lang w:val="en-GB" w:eastAsia="sv-SE"/>
        </w:rPr>
        <w:t xml:space="preserve"> </w:t>
      </w:r>
      <w:r>
        <w:rPr>
          <w:b/>
          <w:bCs/>
          <w:lang w:val="en-GB" w:eastAsia="sv-SE"/>
        </w:rPr>
        <w:t>to carry out the assignment</w:t>
      </w:r>
      <w:r w:rsidRPr="00A01992">
        <w:rPr>
          <w:b/>
          <w:bCs/>
          <w:lang w:val="en-GB" w:eastAsia="sv-SE"/>
        </w:rPr>
        <w:t>?</w:t>
      </w:r>
    </w:p>
    <w:p w14:paraId="07F8BBCC" w14:textId="31F8BF44" w:rsidR="002D3B73" w:rsidRPr="00283C1E" w:rsidRDefault="002D3B73" w:rsidP="00283C1E">
      <w:pPr>
        <w:pStyle w:val="Heading2"/>
      </w:pPr>
      <w:r w:rsidRPr="00283C1E">
        <w:t>4.</w:t>
      </w:r>
      <w:r w:rsidR="004857D5" w:rsidRPr="00283C1E">
        <w:t>2</w:t>
      </w:r>
      <w:r w:rsidRPr="00283C1E">
        <w:t xml:space="preserve">. Terms of reference </w:t>
      </w:r>
    </w:p>
    <w:p w14:paraId="08DAEC82" w14:textId="4040C966" w:rsidR="00A01992" w:rsidRPr="003B5AB9" w:rsidRDefault="002D3B73" w:rsidP="00283C1E">
      <w:r>
        <w:rPr>
          <w:lang w:val="en-GB" w:bidi="en-GB"/>
        </w:rPr>
        <w:t xml:space="preserve">The tenderer </w:t>
      </w:r>
      <w:r w:rsidRPr="00EC1E0C">
        <w:rPr>
          <w:b/>
          <w:lang w:val="en-GB" w:bidi="en-GB"/>
        </w:rPr>
        <w:t>shall</w:t>
      </w:r>
      <w:r>
        <w:rPr>
          <w:lang w:val="en-GB" w:bidi="en-GB"/>
        </w:rPr>
        <w:t xml:space="preserve"> accept the prerequisites for the implementation of the assignment, which are presented in </w:t>
      </w:r>
      <w:r w:rsidR="001658BD">
        <w:rPr>
          <w:lang w:val="en-GB" w:bidi="en-GB"/>
        </w:rPr>
        <w:t>Appendix</w:t>
      </w:r>
      <w:r>
        <w:rPr>
          <w:lang w:val="en-GB" w:bidi="en-GB"/>
        </w:rPr>
        <w:t xml:space="preserve"> </w:t>
      </w:r>
      <w:r w:rsidR="005233EE">
        <w:rPr>
          <w:lang w:val="en-GB" w:bidi="en-GB"/>
        </w:rPr>
        <w:t xml:space="preserve">1 </w:t>
      </w:r>
      <w:r>
        <w:rPr>
          <w:lang w:val="en-GB" w:bidi="en-GB"/>
        </w:rPr>
        <w:t>– Terms of reference.</w:t>
      </w:r>
    </w:p>
    <w:p w14:paraId="0D9B4849" w14:textId="4303064D" w:rsidR="002D3B73" w:rsidRPr="00B13241" w:rsidRDefault="002D3B73" w:rsidP="004E283C">
      <w:pPr>
        <w:pStyle w:val="Heading2"/>
        <w:rPr>
          <w:color w:val="FF0000"/>
        </w:rPr>
      </w:pPr>
      <w:r>
        <w:rPr>
          <w:lang w:val="en-GB" w:bidi="en-GB"/>
        </w:rPr>
        <w:t xml:space="preserve">4.9. </w:t>
      </w:r>
      <w:bookmarkStart w:id="5" w:name="_Hlk498601553"/>
      <w:r>
        <w:rPr>
          <w:lang w:val="en-GB" w:bidi="en-GB"/>
        </w:rPr>
        <w:t xml:space="preserve">Organisation of call-off assignments </w:t>
      </w:r>
      <w:bookmarkEnd w:id="5"/>
    </w:p>
    <w:p w14:paraId="5A2B14FE" w14:textId="7255BB1A" w:rsidR="00086CC7" w:rsidRPr="00B13241" w:rsidRDefault="00086CC7" w:rsidP="0084488A">
      <w:pPr>
        <w:spacing w:after="80"/>
        <w:rPr>
          <w:rFonts w:eastAsia="Times New Roman"/>
          <w:color w:val="000000" w:themeColor="text1"/>
          <w:lang w:val="en-GB" w:eastAsia="sv-SE"/>
        </w:rPr>
      </w:pPr>
      <w:r w:rsidRPr="00086CC7">
        <w:rPr>
          <w:rFonts w:eastAsia="Times New Roman"/>
          <w:color w:val="000000" w:themeColor="text1"/>
          <w:lang w:eastAsia="sv-SE"/>
        </w:rPr>
        <w:t xml:space="preserve">The tenderer </w:t>
      </w:r>
      <w:r w:rsidRPr="00086CC7">
        <w:rPr>
          <w:rFonts w:eastAsia="Times New Roman"/>
          <w:b/>
          <w:bCs/>
          <w:color w:val="000000" w:themeColor="text1"/>
          <w:lang w:eastAsia="sv-SE"/>
        </w:rPr>
        <w:t>shall</w:t>
      </w:r>
      <w:r w:rsidRPr="00086CC7">
        <w:rPr>
          <w:rFonts w:eastAsia="Times New Roman"/>
          <w:color w:val="000000" w:themeColor="text1"/>
          <w:lang w:eastAsia="sv-SE"/>
        </w:rPr>
        <w:t xml:space="preserve"> submit a description of staffing for future call-off assignments. </w:t>
      </w:r>
      <w:r w:rsidRPr="00B13241">
        <w:rPr>
          <w:rFonts w:eastAsia="Times New Roman"/>
          <w:color w:val="000000" w:themeColor="text1"/>
          <w:lang w:val="en-GB" w:eastAsia="sv-SE"/>
        </w:rPr>
        <w:t xml:space="preserve">The description must include the following: </w:t>
      </w:r>
    </w:p>
    <w:p w14:paraId="41D13502" w14:textId="77777777" w:rsidR="00086CC7" w:rsidRPr="00B13241" w:rsidRDefault="00086CC7" w:rsidP="00086CC7">
      <w:pPr>
        <w:pStyle w:val="ListParagraph"/>
        <w:numPr>
          <w:ilvl w:val="0"/>
          <w:numId w:val="8"/>
        </w:numPr>
        <w:autoSpaceDE w:val="0"/>
        <w:autoSpaceDN w:val="0"/>
        <w:adjustRightInd w:val="0"/>
        <w:rPr>
          <w:rFonts w:asciiTheme="minorHAnsi" w:eastAsia="Calibri" w:hAnsiTheme="minorHAnsi" w:cs="Calibri"/>
          <w:color w:val="000000"/>
          <w:lang w:val="en-GB" w:bidi="en-GB"/>
        </w:rPr>
      </w:pPr>
      <w:r w:rsidRPr="00B13241">
        <w:rPr>
          <w:rFonts w:asciiTheme="minorHAnsi" w:eastAsia="Calibri" w:hAnsiTheme="minorHAnsi" w:cs="Calibri"/>
          <w:color w:val="000000"/>
          <w:lang w:val="en-GB" w:bidi="en-GB"/>
        </w:rPr>
        <w:t>Process of staffing for future call-off assignments.</w:t>
      </w:r>
    </w:p>
    <w:p w14:paraId="16504988" w14:textId="0DC58916" w:rsidR="002D3B73" w:rsidRPr="00B13241" w:rsidRDefault="00086CC7" w:rsidP="00133E17">
      <w:pPr>
        <w:pStyle w:val="ListParagraph"/>
        <w:numPr>
          <w:ilvl w:val="0"/>
          <w:numId w:val="8"/>
        </w:numPr>
        <w:autoSpaceDE w:val="0"/>
        <w:autoSpaceDN w:val="0"/>
        <w:adjustRightInd w:val="0"/>
        <w:rPr>
          <w:rFonts w:asciiTheme="minorHAnsi" w:eastAsia="Calibri" w:hAnsiTheme="minorHAnsi" w:cs="Calibri"/>
          <w:color w:val="FF0000"/>
          <w:lang w:bidi="en-GB"/>
        </w:rPr>
      </w:pPr>
      <w:r w:rsidRPr="00B13241">
        <w:rPr>
          <w:rFonts w:asciiTheme="minorHAnsi" w:eastAsia="Calibri" w:hAnsiTheme="minorHAnsi" w:cs="Calibri"/>
          <w:color w:val="000000"/>
          <w:lang w:val="en-GB" w:bidi="en-GB"/>
        </w:rPr>
        <w:t xml:space="preserve">The tenderer's network and co-operations internationally that will facilitate the implementation of future assignments. </w:t>
      </w:r>
    </w:p>
    <w:p w14:paraId="4D128612" w14:textId="51FCD5DD" w:rsidR="002D3B73" w:rsidRDefault="002D3B73" w:rsidP="00E20817">
      <w:pPr>
        <w:pStyle w:val="Heading2"/>
        <w:rPr>
          <w:bCs/>
          <w:i/>
          <w:color w:val="FF0000"/>
        </w:rPr>
      </w:pPr>
      <w:r>
        <w:rPr>
          <w:lang w:val="en-GB" w:bidi="en-GB"/>
        </w:rPr>
        <w:lastRenderedPageBreak/>
        <w:t xml:space="preserve">4.10. </w:t>
      </w:r>
      <w:bookmarkStart w:id="6" w:name="_Hlk498601563"/>
      <w:r>
        <w:rPr>
          <w:lang w:val="en-GB" w:bidi="en-GB"/>
        </w:rPr>
        <w:t>Quality assurance</w:t>
      </w:r>
      <w:bookmarkEnd w:id="6"/>
      <w:r w:rsidR="00E708E5">
        <w:rPr>
          <w:lang w:val="en-GB" w:bidi="en-GB"/>
        </w:rPr>
        <w:t xml:space="preserve"> </w:t>
      </w:r>
      <w:r w:rsidR="006D6535">
        <w:rPr>
          <w:lang w:val="en-GB" w:bidi="en-GB"/>
        </w:rPr>
        <w:t>routine</w:t>
      </w:r>
      <w:r w:rsidR="00113A2F">
        <w:rPr>
          <w:lang w:val="en-GB" w:bidi="en-GB"/>
        </w:rPr>
        <w:t>s</w:t>
      </w:r>
    </w:p>
    <w:p w14:paraId="5AAE3CB3" w14:textId="05FE74DB" w:rsidR="002D3B73" w:rsidRPr="00D249E8" w:rsidRDefault="002D3B73" w:rsidP="00E20817">
      <w:pPr>
        <w:rPr>
          <w:lang w:val="en-GB" w:bidi="en-GB"/>
        </w:rPr>
      </w:pPr>
      <w:r>
        <w:rPr>
          <w:lang w:val="en-GB" w:bidi="en-GB"/>
        </w:rPr>
        <w:t xml:space="preserve">Tenderers shall provide a description of quality assurance routines that demonstrates how </w:t>
      </w:r>
      <w:r w:rsidR="006D6535" w:rsidRPr="00D249E8">
        <w:rPr>
          <w:lang w:val="en-GB" w:bidi="en-GB"/>
        </w:rPr>
        <w:t>the quality of the service that is requested in this procurement will be quality assured. The description must include the following:</w:t>
      </w:r>
    </w:p>
    <w:p w14:paraId="1CC5025B" w14:textId="731B763B" w:rsidR="002D3B73" w:rsidRPr="00E20817" w:rsidRDefault="002D3B73" w:rsidP="002D3B73">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Calibri"/>
        </w:rPr>
      </w:pPr>
      <w:r w:rsidRPr="00E20817">
        <w:rPr>
          <w:rFonts w:asciiTheme="minorHAnsi" w:eastAsia="Calibri" w:hAnsiTheme="minorHAnsi" w:cs="Calibri"/>
          <w:color w:val="000000"/>
          <w:lang w:val="en-GB" w:bidi="en-GB"/>
        </w:rPr>
        <w:t xml:space="preserve">How </w:t>
      </w:r>
      <w:r w:rsidRPr="00113A2F">
        <w:rPr>
          <w:rFonts w:asciiTheme="minorHAnsi" w:eastAsia="Calibri" w:hAnsiTheme="minorHAnsi" w:cs="Calibri"/>
          <w:color w:val="000000"/>
          <w:lang w:val="en-GB" w:bidi="en-GB"/>
        </w:rPr>
        <w:t>future</w:t>
      </w:r>
      <w:r w:rsidR="00113A2F" w:rsidRPr="00113A2F">
        <w:rPr>
          <w:rFonts w:asciiTheme="minorHAnsi" w:eastAsia="Calibri" w:hAnsiTheme="minorHAnsi" w:cs="Calibri"/>
          <w:color w:val="000000"/>
          <w:lang w:val="en-GB" w:bidi="en-GB"/>
        </w:rPr>
        <w:t xml:space="preserve"> </w:t>
      </w:r>
      <w:r w:rsidRPr="00113A2F">
        <w:rPr>
          <w:rFonts w:asciiTheme="minorHAnsi" w:eastAsia="Calibri" w:hAnsiTheme="minorHAnsi" w:cs="Calibri"/>
          <w:color w:val="000000"/>
          <w:lang w:val="en-GB" w:bidi="en-GB"/>
        </w:rPr>
        <w:t>assignment</w:t>
      </w:r>
      <w:r w:rsidR="00113A2F" w:rsidRPr="00113A2F">
        <w:rPr>
          <w:rFonts w:asciiTheme="minorHAnsi" w:eastAsia="Calibri" w:hAnsiTheme="minorHAnsi" w:cs="Calibri"/>
          <w:color w:val="000000"/>
          <w:lang w:val="en-GB" w:bidi="en-GB"/>
        </w:rPr>
        <w:t>s</w:t>
      </w:r>
      <w:r w:rsidRPr="00E20817">
        <w:rPr>
          <w:rFonts w:asciiTheme="minorHAnsi" w:eastAsia="Calibri" w:hAnsiTheme="minorHAnsi" w:cs="Calibri"/>
          <w:color w:val="000000"/>
          <w:lang w:val="en-GB" w:bidi="en-GB"/>
        </w:rPr>
        <w:t xml:space="preserve"> will be quality assured. </w:t>
      </w:r>
    </w:p>
    <w:p w14:paraId="4CF80E5C" w14:textId="4949FD33" w:rsidR="002D3B73" w:rsidRDefault="002D3B73" w:rsidP="00E20817">
      <w:pPr>
        <w:pStyle w:val="ListParagraph"/>
        <w:numPr>
          <w:ilvl w:val="0"/>
          <w:numId w:val="12"/>
        </w:numPr>
        <w:ind w:left="714" w:hanging="357"/>
        <w:contextualSpacing w:val="0"/>
        <w:rPr>
          <w:rFonts w:asciiTheme="minorHAnsi" w:eastAsia="Calibri" w:hAnsiTheme="minorHAnsi" w:cs="Calibri"/>
          <w:color w:val="000000"/>
          <w:lang w:val="en-GB" w:bidi="en-GB"/>
        </w:rPr>
      </w:pPr>
      <w:r w:rsidRPr="00E20817">
        <w:rPr>
          <w:rFonts w:asciiTheme="minorHAnsi" w:eastAsia="Calibri" w:hAnsiTheme="minorHAnsi" w:cs="Calibri"/>
          <w:color w:val="000000"/>
          <w:lang w:val="en-GB" w:bidi="en-GB"/>
        </w:rPr>
        <w:t xml:space="preserve">How the tenderer shall prevent and manage any deviations from the agreed-upon level of quality. </w:t>
      </w:r>
    </w:p>
    <w:p w14:paraId="6E0BAE9C" w14:textId="14063FE8" w:rsidR="002D3B73" w:rsidRDefault="002D3B73" w:rsidP="00E20817">
      <w:pPr>
        <w:pStyle w:val="Heading2"/>
      </w:pPr>
      <w:r w:rsidRPr="00C620C4">
        <w:rPr>
          <w:lang w:val="en-GB" w:bidi="en-GB"/>
        </w:rPr>
        <w:t xml:space="preserve">4.11. </w:t>
      </w:r>
      <w:bookmarkStart w:id="7" w:name="_Hlk498601587"/>
      <w:r w:rsidRPr="00C620C4">
        <w:rPr>
          <w:lang w:val="en-GB" w:bidi="en-GB"/>
        </w:rPr>
        <w:t>Qualifications and competence</w:t>
      </w:r>
      <w:bookmarkEnd w:id="7"/>
    </w:p>
    <w:p w14:paraId="6F698913" w14:textId="77777777" w:rsidR="002D3B73" w:rsidRDefault="002D3B73" w:rsidP="00E20817">
      <w:r>
        <w:rPr>
          <w:lang w:val="en-GB" w:bidi="en-GB"/>
        </w:rPr>
        <w:t>The tenderer shall provide consultants with relevant experience who safeguard the fulfilment of the purpose and scope of the framework agreement.</w:t>
      </w:r>
    </w:p>
    <w:p w14:paraId="3EBC91D1" w14:textId="77777777" w:rsidR="002D3B73" w:rsidRDefault="002D3B73" w:rsidP="009F57F7">
      <w:pPr>
        <w:pStyle w:val="Heading4"/>
        <w:spacing w:after="80"/>
      </w:pPr>
      <w:r>
        <w:rPr>
          <w:rFonts w:eastAsia="Calibri"/>
          <w:lang w:val="en-GB" w:bidi="en-GB"/>
        </w:rPr>
        <w:t>Level 1 consultants shall</w:t>
      </w:r>
    </w:p>
    <w:p w14:paraId="6332D8C3" w14:textId="04475405" w:rsidR="002D3B73" w:rsidRPr="009F57F7" w:rsidRDefault="002D3B73" w:rsidP="00130705">
      <w:pPr>
        <w:pStyle w:val="ListParagraph"/>
        <w:numPr>
          <w:ilvl w:val="0"/>
          <w:numId w:val="12"/>
        </w:numPr>
        <w:spacing w:after="0"/>
        <w:ind w:left="714" w:hanging="357"/>
        <w:contextualSpacing w:val="0"/>
        <w:rPr>
          <w:rFonts w:asciiTheme="minorHAnsi" w:hAnsiTheme="minorHAnsi" w:cs="Calibri"/>
          <w:color w:val="000000"/>
        </w:rPr>
      </w:pPr>
      <w:r w:rsidRPr="009F57F7">
        <w:rPr>
          <w:rFonts w:asciiTheme="minorHAnsi" w:eastAsia="Calibri" w:hAnsiTheme="minorHAnsi" w:cs="Calibri"/>
          <w:color w:val="000000"/>
          <w:lang w:val="en-GB" w:bidi="en-GB"/>
        </w:rPr>
        <w:t>have a master's degree</w:t>
      </w:r>
      <w:r w:rsidR="005233EE">
        <w:rPr>
          <w:rFonts w:asciiTheme="minorHAnsi" w:eastAsia="Calibri" w:hAnsiTheme="minorHAnsi" w:cs="Calibri"/>
          <w:color w:val="000000"/>
          <w:lang w:val="en-GB" w:bidi="en-GB"/>
        </w:rPr>
        <w:t xml:space="preserve"> from </w:t>
      </w:r>
      <w:proofErr w:type="gramStart"/>
      <w:r w:rsidR="005233EE">
        <w:rPr>
          <w:rFonts w:asciiTheme="minorHAnsi" w:eastAsia="Calibri" w:hAnsiTheme="minorHAnsi" w:cs="Calibri"/>
          <w:color w:val="000000"/>
          <w:lang w:val="en-GB" w:bidi="en-GB"/>
        </w:rPr>
        <w:t>Universit</w:t>
      </w:r>
      <w:r w:rsidR="00633328">
        <w:rPr>
          <w:rFonts w:asciiTheme="minorHAnsi" w:eastAsia="Calibri" w:hAnsiTheme="minorHAnsi" w:cs="Calibri"/>
          <w:color w:val="000000"/>
          <w:lang w:val="en-GB" w:bidi="en-GB"/>
        </w:rPr>
        <w:t>y</w:t>
      </w:r>
      <w:proofErr w:type="gramEnd"/>
      <w:r w:rsidRPr="009F57F7">
        <w:rPr>
          <w:rFonts w:asciiTheme="minorHAnsi" w:eastAsia="Calibri" w:hAnsiTheme="minorHAnsi" w:cs="Calibri"/>
          <w:color w:val="000000"/>
          <w:lang w:val="en-GB" w:bidi="en-GB"/>
        </w:rPr>
        <w:t xml:space="preserve"> or equivalent qualification,</w:t>
      </w:r>
    </w:p>
    <w:p w14:paraId="30B2A8E0" w14:textId="3F51F755" w:rsidR="002D3B73" w:rsidRPr="009F57F7" w:rsidRDefault="002D3B73" w:rsidP="00130705">
      <w:pPr>
        <w:pStyle w:val="ListParagraph"/>
        <w:numPr>
          <w:ilvl w:val="0"/>
          <w:numId w:val="12"/>
        </w:numPr>
        <w:spacing w:after="0"/>
        <w:ind w:left="714" w:hanging="357"/>
        <w:contextualSpacing w:val="0"/>
        <w:rPr>
          <w:rFonts w:asciiTheme="minorHAnsi" w:hAnsiTheme="minorHAnsi" w:cs="Calibri"/>
          <w:color w:val="000000"/>
        </w:rPr>
      </w:pPr>
      <w:r w:rsidRPr="009F57F7">
        <w:rPr>
          <w:rFonts w:asciiTheme="minorHAnsi" w:eastAsia="Calibri" w:hAnsiTheme="minorHAnsi" w:cs="Calibri"/>
          <w:color w:val="000000"/>
          <w:lang w:val="en-GB" w:bidi="en-GB"/>
        </w:rPr>
        <w:t xml:space="preserve">have at least </w:t>
      </w:r>
      <w:r w:rsidR="00633328">
        <w:rPr>
          <w:rFonts w:asciiTheme="minorHAnsi" w:eastAsia="Calibri" w:hAnsiTheme="minorHAnsi" w:cs="Calibri"/>
          <w:color w:val="000000"/>
          <w:lang w:val="en-GB" w:bidi="en-GB"/>
        </w:rPr>
        <w:t>ten (10)</w:t>
      </w:r>
      <w:r w:rsidRPr="009F57F7">
        <w:rPr>
          <w:rFonts w:asciiTheme="minorHAnsi" w:eastAsia="Calibri" w:hAnsiTheme="minorHAnsi" w:cs="Calibri"/>
          <w:color w:val="000000"/>
          <w:lang w:val="en-GB" w:bidi="en-GB"/>
        </w:rPr>
        <w:t xml:space="preserve"> years of experience </w:t>
      </w:r>
      <w:r w:rsidR="005233EE">
        <w:t>working in a senior position</w:t>
      </w:r>
      <w:r w:rsidR="005C110A">
        <w:t xml:space="preserve"> / Team Leader</w:t>
      </w:r>
      <w:r w:rsidR="005233EE">
        <w:t xml:space="preserve"> within the Auditing Sector</w:t>
      </w:r>
      <w:r w:rsidRPr="009F57F7">
        <w:rPr>
          <w:rFonts w:asciiTheme="minorHAnsi" w:eastAsia="Calibri" w:hAnsiTheme="minorHAnsi" w:cs="Calibri"/>
          <w:color w:val="000000"/>
          <w:lang w:val="en-GB" w:bidi="en-GB"/>
        </w:rPr>
        <w:t>, and</w:t>
      </w:r>
    </w:p>
    <w:p w14:paraId="510572C4" w14:textId="3F6EF259" w:rsidR="002D3B73" w:rsidRPr="00633328" w:rsidRDefault="00BE2047" w:rsidP="009F57F7">
      <w:pPr>
        <w:pStyle w:val="ListParagraph"/>
        <w:numPr>
          <w:ilvl w:val="0"/>
          <w:numId w:val="12"/>
        </w:numPr>
        <w:ind w:left="714" w:hanging="357"/>
        <w:contextualSpacing w:val="0"/>
        <w:rPr>
          <w:rFonts w:asciiTheme="minorHAnsi" w:hAnsiTheme="minorHAnsi" w:cs="Calibri"/>
          <w:color w:val="000000"/>
        </w:rPr>
      </w:pPr>
      <w:r w:rsidRPr="009F57F7">
        <w:rPr>
          <w:rFonts w:asciiTheme="minorHAnsi" w:eastAsia="Calibri" w:hAnsiTheme="minorHAnsi" w:cs="Calibri"/>
          <w:color w:val="000000"/>
          <w:lang w:val="en-GB" w:bidi="en-GB"/>
        </w:rPr>
        <w:t xml:space="preserve">have </w:t>
      </w:r>
      <w:r w:rsidR="002D3B73" w:rsidRPr="009F57F7">
        <w:rPr>
          <w:rFonts w:asciiTheme="minorHAnsi" w:eastAsia="Calibri" w:hAnsiTheme="minorHAnsi" w:cs="Calibri"/>
          <w:color w:val="000000"/>
          <w:lang w:val="en-GB" w:bidi="en-GB"/>
        </w:rPr>
        <w:t xml:space="preserve">very good skills in </w:t>
      </w:r>
      <w:r w:rsidR="005233EE">
        <w:rPr>
          <w:rFonts w:asciiTheme="minorHAnsi" w:eastAsia="Calibri" w:hAnsiTheme="minorHAnsi" w:cs="Calibri"/>
          <w:color w:val="000000"/>
          <w:lang w:val="en-GB" w:bidi="en-GB"/>
        </w:rPr>
        <w:t>English</w:t>
      </w:r>
      <w:r w:rsidR="00633328">
        <w:rPr>
          <w:rFonts w:asciiTheme="minorHAnsi" w:eastAsia="Calibri" w:hAnsiTheme="minorHAnsi" w:cs="Calibri"/>
          <w:color w:val="000000"/>
          <w:lang w:val="en-GB" w:bidi="en-GB"/>
        </w:rPr>
        <w:t xml:space="preserve"> (written and spoken)</w:t>
      </w:r>
      <w:r w:rsidR="002D3B73" w:rsidRPr="009F57F7">
        <w:rPr>
          <w:rFonts w:asciiTheme="minorHAnsi" w:eastAsia="Calibri" w:hAnsiTheme="minorHAnsi" w:cs="Calibri"/>
          <w:color w:val="000000"/>
          <w:lang w:val="en-GB" w:bidi="en-GB"/>
        </w:rPr>
        <w:t>, equivalent to at least level</w:t>
      </w:r>
      <w:r w:rsidR="00633328">
        <w:rPr>
          <w:rFonts w:asciiTheme="minorHAnsi" w:eastAsia="Calibri" w:hAnsiTheme="minorHAnsi" w:cs="Calibri"/>
          <w:color w:val="000000"/>
          <w:lang w:val="en-GB" w:bidi="en-GB"/>
        </w:rPr>
        <w:t xml:space="preserve"> 2 </w:t>
      </w:r>
      <w:r w:rsidR="002D3B73" w:rsidRPr="009F57F7">
        <w:rPr>
          <w:rFonts w:asciiTheme="minorHAnsi" w:eastAsia="Calibri" w:hAnsiTheme="minorHAnsi" w:cs="Calibri"/>
          <w:color w:val="000000"/>
          <w:lang w:val="en-GB" w:bidi="en-GB"/>
        </w:rPr>
        <w:t xml:space="preserve">(according to the language level definition appendix); see </w:t>
      </w:r>
      <w:r w:rsidR="001658BD">
        <w:rPr>
          <w:rFonts w:asciiTheme="minorHAnsi" w:eastAsia="Calibri" w:hAnsiTheme="minorHAnsi" w:cs="Calibri"/>
          <w:color w:val="000000"/>
          <w:lang w:val="en-GB" w:bidi="en-GB"/>
        </w:rPr>
        <w:t>appendix</w:t>
      </w:r>
      <w:r w:rsidR="002D3B73" w:rsidRPr="009F57F7">
        <w:rPr>
          <w:rFonts w:asciiTheme="minorHAnsi" w:eastAsia="Calibri" w:hAnsiTheme="minorHAnsi" w:cs="Calibri"/>
          <w:color w:val="000000"/>
          <w:lang w:val="en-GB" w:bidi="en-GB"/>
        </w:rPr>
        <w:t xml:space="preserve"> </w:t>
      </w:r>
      <w:r w:rsidR="00633328">
        <w:rPr>
          <w:rFonts w:asciiTheme="minorHAnsi" w:eastAsia="Calibri" w:hAnsiTheme="minorHAnsi" w:cs="Calibri"/>
          <w:color w:val="000000"/>
          <w:lang w:val="en-GB" w:bidi="en-GB"/>
        </w:rPr>
        <w:t>6</w:t>
      </w:r>
    </w:p>
    <w:p w14:paraId="4678F6C1" w14:textId="1807CBE1" w:rsidR="00827D35" w:rsidRPr="005C110A" w:rsidRDefault="00827D35" w:rsidP="009F57F7">
      <w:pPr>
        <w:pStyle w:val="ListParagraph"/>
        <w:numPr>
          <w:ilvl w:val="0"/>
          <w:numId w:val="12"/>
        </w:numPr>
        <w:ind w:left="714" w:hanging="357"/>
        <w:contextualSpacing w:val="0"/>
        <w:rPr>
          <w:rFonts w:asciiTheme="minorHAnsi" w:hAnsiTheme="minorHAnsi" w:cs="Calibri"/>
          <w:color w:val="000000"/>
        </w:rPr>
      </w:pPr>
      <w:r>
        <w:rPr>
          <w:rFonts w:asciiTheme="minorHAnsi" w:eastAsia="Calibri" w:hAnsiTheme="minorHAnsi" w:cs="Calibri"/>
          <w:color w:val="000000"/>
          <w:lang w:val="en-GB" w:bidi="en-GB"/>
        </w:rPr>
        <w:t>Forensic audit knowledge</w:t>
      </w:r>
      <w:r w:rsidR="00C114C6">
        <w:rPr>
          <w:rFonts w:asciiTheme="minorHAnsi" w:eastAsia="Calibri" w:hAnsiTheme="minorHAnsi" w:cs="Calibri"/>
          <w:color w:val="000000"/>
          <w:lang w:val="en-GB" w:bidi="en-GB"/>
        </w:rPr>
        <w:t xml:space="preserve"> and experience, at </w:t>
      </w:r>
      <w:proofErr w:type="spellStart"/>
      <w:r w:rsidR="00C114C6">
        <w:rPr>
          <w:rFonts w:asciiTheme="minorHAnsi" w:eastAsia="Calibri" w:hAnsiTheme="minorHAnsi" w:cs="Calibri"/>
          <w:color w:val="000000"/>
          <w:lang w:val="en-GB" w:bidi="en-GB"/>
        </w:rPr>
        <w:t>leat</w:t>
      </w:r>
      <w:proofErr w:type="spellEnd"/>
      <w:r w:rsidR="00C114C6">
        <w:rPr>
          <w:rFonts w:asciiTheme="minorHAnsi" w:eastAsia="Calibri" w:hAnsiTheme="minorHAnsi" w:cs="Calibri"/>
          <w:color w:val="000000"/>
          <w:lang w:val="en-GB" w:bidi="en-GB"/>
        </w:rPr>
        <w:t xml:space="preserve"> one level 1 consultant shall have at least 3 years</w:t>
      </w:r>
    </w:p>
    <w:p w14:paraId="69A186C3" w14:textId="5DD9B52B" w:rsidR="005C110A" w:rsidRPr="009F57F7" w:rsidRDefault="005C110A" w:rsidP="009F57F7">
      <w:pPr>
        <w:pStyle w:val="ListParagraph"/>
        <w:numPr>
          <w:ilvl w:val="0"/>
          <w:numId w:val="12"/>
        </w:numPr>
        <w:ind w:left="714" w:hanging="357"/>
        <w:contextualSpacing w:val="0"/>
        <w:rPr>
          <w:rFonts w:asciiTheme="minorHAnsi" w:hAnsiTheme="minorHAnsi" w:cs="Calibri"/>
          <w:color w:val="000000"/>
        </w:rPr>
      </w:pPr>
      <w:r>
        <w:rPr>
          <w:rFonts w:asciiTheme="minorHAnsi" w:eastAsia="Calibri" w:hAnsiTheme="minorHAnsi" w:cs="Calibri"/>
          <w:color w:val="000000"/>
          <w:lang w:val="en-GB" w:bidi="en-GB"/>
        </w:rPr>
        <w:t>One reference of previous assignment</w:t>
      </w:r>
      <w:r w:rsidR="00AE6E11">
        <w:rPr>
          <w:rFonts w:asciiTheme="minorHAnsi" w:eastAsia="Calibri" w:hAnsiTheme="minorHAnsi" w:cs="Calibri"/>
          <w:color w:val="000000"/>
          <w:lang w:val="en-GB" w:bidi="en-GB"/>
        </w:rPr>
        <w:t xml:space="preserve"> of relevance for this framework, see appendix </w:t>
      </w:r>
      <w:proofErr w:type="gramStart"/>
      <w:r w:rsidR="00AE6E11">
        <w:rPr>
          <w:rFonts w:asciiTheme="minorHAnsi" w:eastAsia="Calibri" w:hAnsiTheme="minorHAnsi" w:cs="Calibri"/>
          <w:color w:val="000000"/>
          <w:lang w:val="en-GB" w:bidi="en-GB"/>
        </w:rPr>
        <w:t>13</w:t>
      </w:r>
      <w:proofErr w:type="gramEnd"/>
    </w:p>
    <w:p w14:paraId="6C8E22B6" w14:textId="77777777" w:rsidR="002D3B73" w:rsidRPr="00A877E7" w:rsidRDefault="002D3B73" w:rsidP="009F57F7">
      <w:pPr>
        <w:pStyle w:val="Heading4"/>
        <w:spacing w:after="80"/>
      </w:pPr>
      <w:r w:rsidRPr="00A877E7">
        <w:rPr>
          <w:rFonts w:eastAsia="Calibri"/>
          <w:lang w:val="en-GB" w:bidi="en-GB"/>
        </w:rPr>
        <w:t>Level 2 consultants shall</w:t>
      </w:r>
    </w:p>
    <w:p w14:paraId="23D69276" w14:textId="09381EBD" w:rsidR="002D3B73" w:rsidRPr="009F57F7" w:rsidRDefault="002D3B73" w:rsidP="00130705">
      <w:pPr>
        <w:pStyle w:val="ListParagraph"/>
        <w:numPr>
          <w:ilvl w:val="0"/>
          <w:numId w:val="12"/>
        </w:numPr>
        <w:spacing w:after="0"/>
        <w:ind w:left="714" w:hanging="357"/>
        <w:contextualSpacing w:val="0"/>
        <w:rPr>
          <w:rFonts w:asciiTheme="minorHAnsi" w:hAnsiTheme="minorHAnsi" w:cs="Calibri"/>
          <w:color w:val="000000"/>
        </w:rPr>
      </w:pPr>
      <w:r w:rsidRPr="009F57F7">
        <w:rPr>
          <w:rFonts w:asciiTheme="minorHAnsi" w:eastAsia="Calibri" w:hAnsiTheme="minorHAnsi" w:cs="Calibri"/>
          <w:color w:val="000000"/>
          <w:lang w:val="en-GB" w:bidi="en-GB"/>
        </w:rPr>
        <w:t>have a master's degree</w:t>
      </w:r>
      <w:r w:rsidR="00633328">
        <w:rPr>
          <w:rFonts w:asciiTheme="minorHAnsi" w:eastAsia="Calibri" w:hAnsiTheme="minorHAnsi" w:cs="Calibri"/>
          <w:color w:val="000000"/>
          <w:lang w:val="en-GB" w:bidi="en-GB"/>
        </w:rPr>
        <w:t xml:space="preserve"> from </w:t>
      </w:r>
      <w:proofErr w:type="gramStart"/>
      <w:r w:rsidR="00633328">
        <w:rPr>
          <w:rFonts w:asciiTheme="minorHAnsi" w:eastAsia="Calibri" w:hAnsiTheme="minorHAnsi" w:cs="Calibri"/>
          <w:color w:val="000000"/>
          <w:lang w:val="en-GB" w:bidi="en-GB"/>
        </w:rPr>
        <w:t>University</w:t>
      </w:r>
      <w:proofErr w:type="gramEnd"/>
      <w:r w:rsidRPr="009F57F7">
        <w:rPr>
          <w:rFonts w:asciiTheme="minorHAnsi" w:eastAsia="Calibri" w:hAnsiTheme="minorHAnsi" w:cs="Calibri"/>
          <w:color w:val="000000"/>
          <w:lang w:val="en-GB" w:bidi="en-GB"/>
        </w:rPr>
        <w:t xml:space="preserve"> or equivalent qualification,</w:t>
      </w:r>
    </w:p>
    <w:p w14:paraId="79BD7388" w14:textId="15FEB025" w:rsidR="002D3B73" w:rsidRPr="00B40DD4" w:rsidRDefault="002D3B73" w:rsidP="00B40DD4">
      <w:pPr>
        <w:pStyle w:val="ListParagraph"/>
        <w:numPr>
          <w:ilvl w:val="0"/>
          <w:numId w:val="12"/>
        </w:numPr>
        <w:spacing w:after="0"/>
        <w:ind w:left="714" w:hanging="357"/>
        <w:contextualSpacing w:val="0"/>
        <w:rPr>
          <w:rFonts w:asciiTheme="minorHAnsi" w:hAnsiTheme="minorHAnsi" w:cs="Calibri"/>
          <w:color w:val="000000"/>
        </w:rPr>
      </w:pPr>
      <w:r w:rsidRPr="009F57F7">
        <w:rPr>
          <w:rFonts w:asciiTheme="minorHAnsi" w:eastAsia="Calibri" w:hAnsiTheme="minorHAnsi" w:cs="Calibri"/>
          <w:color w:val="000000"/>
          <w:lang w:val="en-GB" w:bidi="en-GB"/>
        </w:rPr>
        <w:t xml:space="preserve">have at least five (5) years of experience working within </w:t>
      </w:r>
      <w:r w:rsidR="00B40DD4">
        <w:t>within the Auditing Sector</w:t>
      </w:r>
      <w:r w:rsidR="00B40DD4" w:rsidRPr="009F57F7">
        <w:rPr>
          <w:rFonts w:asciiTheme="minorHAnsi" w:eastAsia="Calibri" w:hAnsiTheme="minorHAnsi" w:cs="Calibri"/>
          <w:color w:val="000000"/>
          <w:lang w:val="en-GB" w:bidi="en-GB"/>
        </w:rPr>
        <w:t>, an</w:t>
      </w:r>
      <w:r w:rsidR="00B40DD4">
        <w:rPr>
          <w:rFonts w:asciiTheme="minorHAnsi" w:eastAsia="Calibri" w:hAnsiTheme="minorHAnsi" w:cs="Calibri"/>
          <w:color w:val="000000"/>
          <w:lang w:val="en-GB" w:bidi="en-GB"/>
        </w:rPr>
        <w:t>d</w:t>
      </w:r>
    </w:p>
    <w:p w14:paraId="74063139" w14:textId="733854C7" w:rsidR="002D3B73" w:rsidRPr="00827D35" w:rsidRDefault="00E34A10" w:rsidP="009F57F7">
      <w:pPr>
        <w:pStyle w:val="ListParagraph"/>
        <w:numPr>
          <w:ilvl w:val="0"/>
          <w:numId w:val="12"/>
        </w:numPr>
        <w:ind w:left="714" w:hanging="357"/>
        <w:contextualSpacing w:val="0"/>
        <w:rPr>
          <w:rFonts w:asciiTheme="minorHAnsi" w:hAnsiTheme="minorHAnsi" w:cs="Calibri"/>
          <w:color w:val="000000"/>
        </w:rPr>
      </w:pPr>
      <w:r w:rsidRPr="009F57F7">
        <w:rPr>
          <w:rFonts w:asciiTheme="minorHAnsi" w:eastAsia="Calibri" w:hAnsiTheme="minorHAnsi" w:cs="Calibri"/>
          <w:color w:val="000000"/>
          <w:lang w:val="en-GB" w:bidi="en-GB"/>
        </w:rPr>
        <w:t xml:space="preserve">have </w:t>
      </w:r>
      <w:r w:rsidR="002D3B73" w:rsidRPr="009F57F7">
        <w:rPr>
          <w:rFonts w:asciiTheme="minorHAnsi" w:eastAsia="Calibri" w:hAnsiTheme="minorHAnsi" w:cs="Calibri"/>
          <w:color w:val="000000"/>
          <w:lang w:val="en-GB" w:bidi="en-GB"/>
        </w:rPr>
        <w:t xml:space="preserve">very good skills in </w:t>
      </w:r>
      <w:r w:rsidR="00B40DD4">
        <w:rPr>
          <w:rFonts w:asciiTheme="minorHAnsi" w:eastAsia="Calibri" w:hAnsiTheme="minorHAnsi" w:cs="Calibri"/>
          <w:color w:val="000000"/>
          <w:lang w:val="en-GB" w:bidi="en-GB"/>
        </w:rPr>
        <w:t>English (written and spoken)</w:t>
      </w:r>
      <w:r w:rsidR="002D3B73" w:rsidRPr="009F57F7">
        <w:rPr>
          <w:rFonts w:asciiTheme="minorHAnsi" w:eastAsia="Calibri" w:hAnsiTheme="minorHAnsi" w:cs="Calibri"/>
          <w:color w:val="000000"/>
          <w:lang w:val="en-GB" w:bidi="en-GB"/>
        </w:rPr>
        <w:t xml:space="preserve">, equivalent to at least level </w:t>
      </w:r>
      <w:r w:rsidR="00B40DD4">
        <w:rPr>
          <w:rFonts w:asciiTheme="minorHAnsi" w:eastAsia="Calibri" w:hAnsiTheme="minorHAnsi" w:cs="Calibri"/>
          <w:color w:val="000000"/>
          <w:lang w:val="en-GB" w:bidi="en-GB"/>
        </w:rPr>
        <w:t>2</w:t>
      </w:r>
      <w:r w:rsidR="002D3B73" w:rsidRPr="009F57F7">
        <w:rPr>
          <w:rFonts w:asciiTheme="minorHAnsi" w:eastAsia="Calibri" w:hAnsiTheme="minorHAnsi" w:cs="Calibri"/>
          <w:color w:val="000000"/>
          <w:lang w:val="en-GB" w:bidi="en-GB"/>
        </w:rPr>
        <w:t xml:space="preserve"> (according to the language level definition appendix); see </w:t>
      </w:r>
      <w:r w:rsidR="001658BD">
        <w:rPr>
          <w:rFonts w:asciiTheme="minorHAnsi" w:eastAsia="Calibri" w:hAnsiTheme="minorHAnsi" w:cs="Calibri"/>
          <w:color w:val="000000"/>
          <w:lang w:val="en-GB" w:bidi="en-GB"/>
        </w:rPr>
        <w:t>appendix</w:t>
      </w:r>
      <w:r w:rsidR="002D3B73" w:rsidRPr="009F57F7">
        <w:rPr>
          <w:rFonts w:asciiTheme="minorHAnsi" w:eastAsia="Calibri" w:hAnsiTheme="minorHAnsi" w:cs="Calibri"/>
          <w:color w:val="000000"/>
          <w:lang w:val="en-GB" w:bidi="en-GB"/>
        </w:rPr>
        <w:t xml:space="preserve"> </w:t>
      </w:r>
      <w:r w:rsidR="00B40DD4">
        <w:rPr>
          <w:rFonts w:asciiTheme="minorHAnsi" w:eastAsia="Calibri" w:hAnsiTheme="minorHAnsi" w:cs="Calibri"/>
          <w:color w:val="000000"/>
          <w:lang w:val="en-GB" w:bidi="en-GB"/>
        </w:rPr>
        <w:t>6</w:t>
      </w:r>
      <w:r w:rsidR="002D3B73" w:rsidRPr="009F57F7">
        <w:rPr>
          <w:rFonts w:asciiTheme="minorHAnsi" w:eastAsia="Calibri" w:hAnsiTheme="minorHAnsi" w:cs="Calibri"/>
          <w:color w:val="000000"/>
          <w:lang w:val="en-GB" w:bidi="en-GB"/>
        </w:rPr>
        <w:t>.</w:t>
      </w:r>
    </w:p>
    <w:p w14:paraId="531959CB" w14:textId="733629CC" w:rsidR="00827D35" w:rsidRPr="00C620C4" w:rsidRDefault="00827D35" w:rsidP="00827D35">
      <w:pPr>
        <w:pStyle w:val="ListParagraph"/>
        <w:numPr>
          <w:ilvl w:val="0"/>
          <w:numId w:val="12"/>
        </w:numPr>
        <w:ind w:left="714" w:hanging="357"/>
        <w:contextualSpacing w:val="0"/>
        <w:rPr>
          <w:rFonts w:asciiTheme="minorHAnsi" w:hAnsiTheme="minorHAnsi" w:cs="Calibri"/>
          <w:color w:val="000000"/>
        </w:rPr>
      </w:pPr>
      <w:r w:rsidRPr="00C620C4">
        <w:rPr>
          <w:rFonts w:asciiTheme="minorHAnsi" w:eastAsia="Calibri" w:hAnsiTheme="minorHAnsi" w:cs="Calibri"/>
          <w:color w:val="000000"/>
          <w:lang w:val="en-GB" w:bidi="en-GB"/>
        </w:rPr>
        <w:t xml:space="preserve">good skills in French </w:t>
      </w:r>
      <w:r w:rsidR="005C110A">
        <w:rPr>
          <w:rFonts w:asciiTheme="minorHAnsi" w:eastAsia="Calibri" w:hAnsiTheme="minorHAnsi" w:cs="Calibri"/>
          <w:color w:val="000000"/>
          <w:lang w:val="en-GB" w:bidi="en-GB"/>
        </w:rPr>
        <w:t xml:space="preserve">for at </w:t>
      </w:r>
      <w:proofErr w:type="spellStart"/>
      <w:r w:rsidR="005C110A">
        <w:rPr>
          <w:rFonts w:asciiTheme="minorHAnsi" w:eastAsia="Calibri" w:hAnsiTheme="minorHAnsi" w:cs="Calibri"/>
          <w:color w:val="000000"/>
          <w:lang w:val="en-GB" w:bidi="en-GB"/>
        </w:rPr>
        <w:t>leat</w:t>
      </w:r>
      <w:proofErr w:type="spellEnd"/>
      <w:r w:rsidR="005C110A">
        <w:rPr>
          <w:rFonts w:asciiTheme="minorHAnsi" w:eastAsia="Calibri" w:hAnsiTheme="minorHAnsi" w:cs="Calibri"/>
          <w:color w:val="000000"/>
          <w:lang w:val="en-GB" w:bidi="en-GB"/>
        </w:rPr>
        <w:t xml:space="preserve"> one person in the team </w:t>
      </w:r>
      <w:r w:rsidRPr="00C620C4">
        <w:rPr>
          <w:rFonts w:asciiTheme="minorHAnsi" w:eastAsia="Calibri" w:hAnsiTheme="minorHAnsi" w:cs="Calibri"/>
          <w:color w:val="000000"/>
          <w:lang w:val="en-GB" w:bidi="en-GB"/>
        </w:rPr>
        <w:t xml:space="preserve">and </w:t>
      </w:r>
      <w:r w:rsidR="005C110A">
        <w:rPr>
          <w:rFonts w:asciiTheme="minorHAnsi" w:eastAsia="Calibri" w:hAnsiTheme="minorHAnsi" w:cs="Calibri"/>
          <w:color w:val="000000"/>
          <w:lang w:val="en-GB" w:bidi="en-GB"/>
        </w:rPr>
        <w:t xml:space="preserve">one in </w:t>
      </w:r>
      <w:r w:rsidR="00FA422F" w:rsidRPr="00C620C4">
        <w:rPr>
          <w:rFonts w:asciiTheme="minorHAnsi" w:eastAsia="Calibri" w:hAnsiTheme="minorHAnsi" w:cs="Calibri"/>
          <w:color w:val="000000"/>
          <w:lang w:val="en-GB" w:bidi="en-GB"/>
        </w:rPr>
        <w:t>P</w:t>
      </w:r>
      <w:r w:rsidRPr="00C620C4">
        <w:rPr>
          <w:rFonts w:asciiTheme="minorHAnsi" w:eastAsia="Calibri" w:hAnsiTheme="minorHAnsi" w:cs="Calibri"/>
          <w:color w:val="000000"/>
          <w:lang w:val="en-GB" w:bidi="en-GB"/>
        </w:rPr>
        <w:t>ortuguese as well</w:t>
      </w:r>
      <w:r w:rsidR="00C620C4" w:rsidRPr="00C620C4">
        <w:rPr>
          <w:rFonts w:asciiTheme="minorHAnsi" w:eastAsia="Calibri" w:hAnsiTheme="minorHAnsi" w:cs="Calibri"/>
          <w:color w:val="000000"/>
          <w:lang w:val="en-GB" w:bidi="en-GB"/>
        </w:rPr>
        <w:t xml:space="preserve">, equivalent to at least level 2 </w:t>
      </w:r>
    </w:p>
    <w:p w14:paraId="0A71A19F" w14:textId="77777777" w:rsidR="002D3B73" w:rsidRPr="00A877E7" w:rsidRDefault="002D3B73" w:rsidP="009F57F7">
      <w:pPr>
        <w:pStyle w:val="Heading4"/>
      </w:pPr>
      <w:r w:rsidRPr="00A877E7">
        <w:rPr>
          <w:rFonts w:eastAsia="Calibri"/>
          <w:lang w:val="en-GB" w:bidi="en-GB"/>
        </w:rPr>
        <w:t xml:space="preserve">Level 3 consultants shall </w:t>
      </w:r>
    </w:p>
    <w:p w14:paraId="445203CA" w14:textId="3B7E0C5E" w:rsidR="002D3B73" w:rsidRPr="0084488A" w:rsidRDefault="002D3B73" w:rsidP="00130705">
      <w:pPr>
        <w:pStyle w:val="ListParagraph"/>
        <w:numPr>
          <w:ilvl w:val="0"/>
          <w:numId w:val="12"/>
        </w:numPr>
        <w:spacing w:after="0"/>
        <w:ind w:left="714" w:hanging="357"/>
        <w:contextualSpacing w:val="0"/>
        <w:rPr>
          <w:rFonts w:asciiTheme="minorHAnsi" w:hAnsiTheme="minorHAnsi" w:cs="Calibri"/>
          <w:color w:val="000000"/>
        </w:rPr>
      </w:pPr>
      <w:r w:rsidRPr="0084488A">
        <w:rPr>
          <w:rFonts w:asciiTheme="minorHAnsi" w:eastAsia="Calibri" w:hAnsiTheme="minorHAnsi" w:cs="Calibri"/>
          <w:color w:val="000000"/>
          <w:lang w:val="en-GB" w:bidi="en-GB"/>
        </w:rPr>
        <w:t>have a bachelor's degree or equivalent qualification,</w:t>
      </w:r>
    </w:p>
    <w:p w14:paraId="19682A9C" w14:textId="7338E13F" w:rsidR="002D3B73" w:rsidRPr="0084488A" w:rsidRDefault="002D3B73" w:rsidP="00130705">
      <w:pPr>
        <w:pStyle w:val="ListParagraph"/>
        <w:numPr>
          <w:ilvl w:val="0"/>
          <w:numId w:val="12"/>
        </w:numPr>
        <w:spacing w:after="0"/>
        <w:ind w:left="714" w:hanging="357"/>
        <w:contextualSpacing w:val="0"/>
        <w:rPr>
          <w:rFonts w:asciiTheme="minorHAnsi" w:hAnsiTheme="minorHAnsi" w:cs="Calibri"/>
          <w:color w:val="000000"/>
        </w:rPr>
      </w:pPr>
      <w:r w:rsidRPr="0084488A">
        <w:rPr>
          <w:rFonts w:asciiTheme="minorHAnsi" w:eastAsia="Calibri" w:hAnsiTheme="minorHAnsi" w:cs="Calibri"/>
          <w:color w:val="000000"/>
          <w:lang w:val="en-GB" w:bidi="en-GB"/>
        </w:rPr>
        <w:t xml:space="preserve">have at least two (2) years of experience working within the </w:t>
      </w:r>
      <w:r w:rsidR="00B40DD4">
        <w:rPr>
          <w:rFonts w:asciiTheme="minorHAnsi" w:eastAsia="Calibri" w:hAnsiTheme="minorHAnsi" w:cs="Calibri"/>
          <w:color w:val="000000"/>
          <w:lang w:val="en-GB" w:bidi="en-GB"/>
        </w:rPr>
        <w:t>auditing or financial sector</w:t>
      </w:r>
      <w:r w:rsidRPr="0084488A">
        <w:rPr>
          <w:rFonts w:asciiTheme="minorHAnsi" w:eastAsia="Calibri" w:hAnsiTheme="minorHAnsi" w:cs="Calibri"/>
          <w:color w:val="000000"/>
          <w:lang w:val="en-GB" w:bidi="en-GB"/>
        </w:rPr>
        <w:t>, and</w:t>
      </w:r>
    </w:p>
    <w:p w14:paraId="4C376E6D" w14:textId="764E0F95" w:rsidR="002D3B73" w:rsidRPr="0084488A" w:rsidRDefault="00AB7B62" w:rsidP="00130705">
      <w:pPr>
        <w:pStyle w:val="ListParagraph"/>
        <w:numPr>
          <w:ilvl w:val="0"/>
          <w:numId w:val="12"/>
        </w:numPr>
        <w:ind w:left="714" w:hanging="357"/>
        <w:contextualSpacing w:val="0"/>
        <w:rPr>
          <w:rFonts w:asciiTheme="minorHAnsi" w:hAnsiTheme="minorHAnsi" w:cs="Calibri"/>
          <w:color w:val="000000"/>
        </w:rPr>
      </w:pPr>
      <w:r w:rsidRPr="0084488A">
        <w:rPr>
          <w:rFonts w:asciiTheme="minorHAnsi" w:eastAsia="Calibri" w:hAnsiTheme="minorHAnsi" w:cs="Calibri"/>
          <w:color w:val="000000"/>
          <w:lang w:val="en-GB" w:bidi="en-GB"/>
        </w:rPr>
        <w:t xml:space="preserve">have </w:t>
      </w:r>
      <w:r w:rsidR="002D3B73" w:rsidRPr="0084488A">
        <w:rPr>
          <w:rFonts w:asciiTheme="minorHAnsi" w:eastAsia="Calibri" w:hAnsiTheme="minorHAnsi" w:cs="Calibri"/>
          <w:color w:val="000000"/>
          <w:lang w:val="en-GB" w:bidi="en-GB"/>
        </w:rPr>
        <w:t xml:space="preserve">very good skills in </w:t>
      </w:r>
      <w:r w:rsidR="00B40DD4">
        <w:rPr>
          <w:rFonts w:asciiTheme="minorHAnsi" w:eastAsia="Calibri" w:hAnsiTheme="minorHAnsi" w:cs="Calibri"/>
          <w:color w:val="000000"/>
          <w:lang w:val="en-GB" w:bidi="en-GB"/>
        </w:rPr>
        <w:t>English</w:t>
      </w:r>
      <w:r w:rsidR="002D3B73" w:rsidRPr="0084488A">
        <w:rPr>
          <w:rFonts w:asciiTheme="minorHAnsi" w:eastAsia="Calibri" w:hAnsiTheme="minorHAnsi" w:cs="Calibri"/>
          <w:color w:val="000000"/>
          <w:lang w:val="en-GB" w:bidi="en-GB"/>
        </w:rPr>
        <w:t xml:space="preserve">, equivalent to at least level </w:t>
      </w:r>
      <w:r w:rsidR="00B40DD4">
        <w:rPr>
          <w:rFonts w:asciiTheme="minorHAnsi" w:eastAsia="Calibri" w:hAnsiTheme="minorHAnsi" w:cs="Calibri"/>
          <w:color w:val="000000"/>
          <w:lang w:val="en-GB" w:bidi="en-GB"/>
        </w:rPr>
        <w:t>2</w:t>
      </w:r>
      <w:r w:rsidR="002D3B73" w:rsidRPr="0084488A">
        <w:rPr>
          <w:rFonts w:asciiTheme="minorHAnsi" w:eastAsia="Calibri" w:hAnsiTheme="minorHAnsi" w:cs="Calibri"/>
          <w:color w:val="000000"/>
          <w:lang w:val="en-GB" w:bidi="en-GB"/>
        </w:rPr>
        <w:t xml:space="preserve"> (according to the language level definition appendix); see </w:t>
      </w:r>
      <w:r w:rsidR="001658BD">
        <w:rPr>
          <w:rFonts w:asciiTheme="minorHAnsi" w:eastAsia="Calibri" w:hAnsiTheme="minorHAnsi" w:cs="Calibri"/>
          <w:color w:val="000000"/>
          <w:lang w:val="en-GB" w:bidi="en-GB"/>
        </w:rPr>
        <w:t>appendix</w:t>
      </w:r>
      <w:r w:rsidR="002D3B73" w:rsidRPr="0084488A">
        <w:rPr>
          <w:rFonts w:asciiTheme="minorHAnsi" w:eastAsia="Calibri" w:hAnsiTheme="minorHAnsi" w:cs="Calibri"/>
          <w:color w:val="000000"/>
          <w:lang w:val="en-GB" w:bidi="en-GB"/>
        </w:rPr>
        <w:t xml:space="preserve"> </w:t>
      </w:r>
      <w:r w:rsidR="00B40DD4">
        <w:rPr>
          <w:rFonts w:asciiTheme="minorHAnsi" w:eastAsia="Calibri" w:hAnsiTheme="minorHAnsi" w:cs="Calibri"/>
          <w:color w:val="000000"/>
          <w:lang w:val="en-GB" w:bidi="en-GB"/>
        </w:rPr>
        <w:t>6</w:t>
      </w:r>
      <w:r w:rsidR="002D3B73" w:rsidRPr="0084488A">
        <w:rPr>
          <w:rFonts w:asciiTheme="minorHAnsi" w:eastAsia="Calibri" w:hAnsiTheme="minorHAnsi" w:cs="Calibri"/>
          <w:color w:val="000000"/>
          <w:lang w:val="en-GB" w:bidi="en-GB"/>
        </w:rPr>
        <w:t>.</w:t>
      </w:r>
    </w:p>
    <w:p w14:paraId="1D594349" w14:textId="62CDB428" w:rsidR="002D3B73" w:rsidRPr="00C114C6" w:rsidRDefault="002D3B73" w:rsidP="0084488A">
      <w:pPr>
        <w:rPr>
          <w:b/>
          <w:bCs/>
          <w:i/>
          <w:color w:val="FF0000"/>
        </w:rPr>
      </w:pPr>
      <w:r w:rsidRPr="00C114C6">
        <w:rPr>
          <w:b/>
          <w:bCs/>
          <w:lang w:val="en-GB" w:bidi="en-GB"/>
        </w:rPr>
        <w:t xml:space="preserve">The tenderer shall provide </w:t>
      </w:r>
      <w:r w:rsidR="00B40DD4" w:rsidRPr="00C114C6">
        <w:rPr>
          <w:b/>
          <w:bCs/>
          <w:lang w:val="en-GB" w:bidi="en-GB"/>
        </w:rPr>
        <w:t>five</w:t>
      </w:r>
      <w:r w:rsidRPr="00C114C6">
        <w:rPr>
          <w:b/>
          <w:bCs/>
          <w:lang w:val="en-GB" w:bidi="en-GB"/>
        </w:rPr>
        <w:t xml:space="preserve"> (</w:t>
      </w:r>
      <w:r w:rsidR="00827D35" w:rsidRPr="00C114C6">
        <w:rPr>
          <w:b/>
          <w:bCs/>
          <w:lang w:val="en-GB" w:bidi="en-GB"/>
        </w:rPr>
        <w:t>5</w:t>
      </w:r>
      <w:r w:rsidRPr="00C114C6">
        <w:rPr>
          <w:b/>
          <w:bCs/>
          <w:lang w:val="en-GB" w:bidi="en-GB"/>
        </w:rPr>
        <w:t>) Level 1 consultant</w:t>
      </w:r>
      <w:r w:rsidR="00AA5B0E" w:rsidRPr="00C114C6">
        <w:rPr>
          <w:b/>
          <w:bCs/>
          <w:lang w:val="en-GB" w:bidi="en-GB"/>
        </w:rPr>
        <w:t xml:space="preserve">; </w:t>
      </w:r>
      <w:r w:rsidR="00B40DD4" w:rsidRPr="00C114C6">
        <w:rPr>
          <w:b/>
          <w:bCs/>
          <w:lang w:val="en-GB" w:bidi="en-GB"/>
        </w:rPr>
        <w:t>ten</w:t>
      </w:r>
      <w:r w:rsidRPr="00C114C6">
        <w:rPr>
          <w:b/>
          <w:bCs/>
          <w:lang w:val="en-GB" w:bidi="en-GB"/>
        </w:rPr>
        <w:t xml:space="preserve"> (1</w:t>
      </w:r>
      <w:r w:rsidR="00B40DD4" w:rsidRPr="00C114C6">
        <w:rPr>
          <w:b/>
          <w:bCs/>
          <w:lang w:val="en-GB" w:bidi="en-GB"/>
        </w:rPr>
        <w:t>0</w:t>
      </w:r>
      <w:r w:rsidRPr="00C114C6">
        <w:rPr>
          <w:b/>
          <w:bCs/>
          <w:lang w:val="en-GB" w:bidi="en-GB"/>
        </w:rPr>
        <w:t xml:space="preserve">) Level 2 consultant </w:t>
      </w:r>
      <w:r w:rsidR="00AA5B0E" w:rsidRPr="00C114C6">
        <w:rPr>
          <w:b/>
          <w:bCs/>
          <w:lang w:val="en-GB" w:bidi="en-GB"/>
        </w:rPr>
        <w:t>and five (</w:t>
      </w:r>
      <w:r w:rsidR="005C110A" w:rsidRPr="00C114C6">
        <w:rPr>
          <w:b/>
          <w:bCs/>
          <w:lang w:val="en-GB" w:bidi="en-GB"/>
        </w:rPr>
        <w:t>5</w:t>
      </w:r>
      <w:r w:rsidR="00AA5B0E" w:rsidRPr="00C114C6">
        <w:rPr>
          <w:b/>
          <w:bCs/>
          <w:lang w:val="en-GB" w:bidi="en-GB"/>
        </w:rPr>
        <w:t xml:space="preserve">) Level 3 consultant with different qualifications covering the scope described in the entire </w:t>
      </w:r>
      <w:proofErr w:type="spellStart"/>
      <w:r w:rsidR="00AA5B0E" w:rsidRPr="00C114C6">
        <w:rPr>
          <w:b/>
          <w:bCs/>
          <w:lang w:val="en-GB" w:bidi="en-GB"/>
        </w:rPr>
        <w:t>ToR</w:t>
      </w:r>
      <w:proofErr w:type="spellEnd"/>
      <w:r w:rsidR="00AA5B0E" w:rsidRPr="00C114C6">
        <w:rPr>
          <w:b/>
          <w:bCs/>
          <w:lang w:val="en-GB" w:bidi="en-GB"/>
        </w:rPr>
        <w:t xml:space="preserve">. </w:t>
      </w:r>
    </w:p>
    <w:p w14:paraId="687B8146" w14:textId="4E6F13A9" w:rsidR="002D3B73" w:rsidRPr="00C114C6" w:rsidRDefault="002D3B73" w:rsidP="00130705">
      <w:pPr>
        <w:spacing w:after="80"/>
        <w:rPr>
          <w:b/>
          <w:bCs/>
          <w:color w:val="FF0000"/>
          <w:lang w:val="en-GB"/>
        </w:rPr>
      </w:pPr>
      <w:r w:rsidRPr="00C114C6">
        <w:rPr>
          <w:b/>
          <w:bCs/>
          <w:lang w:val="en-GB" w:bidi="en-GB"/>
        </w:rPr>
        <w:t xml:space="preserve">The tender shall include the CVs of the proposed Level 1, Level </w:t>
      </w:r>
      <w:proofErr w:type="gramStart"/>
      <w:r w:rsidRPr="00C114C6">
        <w:rPr>
          <w:b/>
          <w:bCs/>
          <w:lang w:val="en-GB" w:bidi="en-GB"/>
        </w:rPr>
        <w:t>2</w:t>
      </w:r>
      <w:proofErr w:type="gramEnd"/>
      <w:r w:rsidRPr="00C114C6">
        <w:rPr>
          <w:b/>
          <w:bCs/>
          <w:lang w:val="en-GB" w:bidi="en-GB"/>
        </w:rPr>
        <w:t xml:space="preserve"> and Level 3 consultants. Each CV must include the following: </w:t>
      </w:r>
    </w:p>
    <w:p w14:paraId="651B4BDF" w14:textId="77777777" w:rsidR="002D3B73" w:rsidRPr="00C114C6" w:rsidRDefault="002D3B73" w:rsidP="002D3B73">
      <w:pPr>
        <w:pStyle w:val="ListParagraph"/>
        <w:numPr>
          <w:ilvl w:val="1"/>
          <w:numId w:val="11"/>
        </w:numPr>
        <w:autoSpaceDE w:val="0"/>
        <w:autoSpaceDN w:val="0"/>
        <w:adjustRightInd w:val="0"/>
        <w:rPr>
          <w:rFonts w:asciiTheme="minorHAnsi" w:hAnsiTheme="minorHAnsi" w:cs="Calibri"/>
          <w:b/>
          <w:bCs/>
          <w:color w:val="000000"/>
        </w:rPr>
      </w:pPr>
      <w:r w:rsidRPr="00C114C6">
        <w:rPr>
          <w:rFonts w:asciiTheme="minorHAnsi" w:eastAsia="Calibri" w:hAnsiTheme="minorHAnsi" w:cs="Calibri"/>
          <w:b/>
          <w:bCs/>
          <w:color w:val="000000"/>
          <w:lang w:val="en-GB" w:bidi="en-GB"/>
        </w:rPr>
        <w:t xml:space="preserve">The person’s first name and surname, </w:t>
      </w:r>
    </w:p>
    <w:p w14:paraId="633A8400" w14:textId="77777777" w:rsidR="002D3B73" w:rsidRPr="00C114C6" w:rsidRDefault="002D3B73" w:rsidP="002D3B73">
      <w:pPr>
        <w:pStyle w:val="ListParagraph"/>
        <w:numPr>
          <w:ilvl w:val="1"/>
          <w:numId w:val="11"/>
        </w:numPr>
        <w:autoSpaceDE w:val="0"/>
        <w:autoSpaceDN w:val="0"/>
        <w:adjustRightInd w:val="0"/>
        <w:rPr>
          <w:rFonts w:asciiTheme="minorHAnsi" w:hAnsiTheme="minorHAnsi" w:cs="Calibri"/>
          <w:b/>
          <w:bCs/>
          <w:color w:val="000000"/>
        </w:rPr>
      </w:pPr>
      <w:r w:rsidRPr="00C114C6">
        <w:rPr>
          <w:rFonts w:asciiTheme="minorHAnsi" w:eastAsia="Calibri" w:hAnsiTheme="minorHAnsi" w:cs="Calibri"/>
          <w:b/>
          <w:bCs/>
          <w:color w:val="000000"/>
          <w:lang w:val="en-GB" w:bidi="en-GB"/>
        </w:rPr>
        <w:lastRenderedPageBreak/>
        <w:t>education,</w:t>
      </w:r>
    </w:p>
    <w:p w14:paraId="56E6D39C" w14:textId="77777777" w:rsidR="002D3B73" w:rsidRPr="00C114C6" w:rsidRDefault="002D3B73" w:rsidP="002D3B73">
      <w:pPr>
        <w:pStyle w:val="ListParagraph"/>
        <w:numPr>
          <w:ilvl w:val="1"/>
          <w:numId w:val="11"/>
        </w:numPr>
        <w:autoSpaceDE w:val="0"/>
        <w:autoSpaceDN w:val="0"/>
        <w:adjustRightInd w:val="0"/>
        <w:rPr>
          <w:rFonts w:asciiTheme="minorHAnsi" w:hAnsiTheme="minorHAnsi" w:cs="Calibri"/>
          <w:b/>
          <w:bCs/>
          <w:color w:val="000000"/>
        </w:rPr>
      </w:pPr>
      <w:r w:rsidRPr="00C114C6">
        <w:rPr>
          <w:rFonts w:asciiTheme="minorHAnsi" w:eastAsia="Calibri" w:hAnsiTheme="minorHAnsi" w:cs="Calibri"/>
          <w:b/>
          <w:bCs/>
          <w:color w:val="000000"/>
          <w:lang w:val="en-GB" w:bidi="en-GB"/>
        </w:rPr>
        <w:t>professional experience, and</w:t>
      </w:r>
    </w:p>
    <w:p w14:paraId="7050D8D1" w14:textId="77777777" w:rsidR="002D3B73" w:rsidRPr="00C114C6" w:rsidRDefault="002D3B73" w:rsidP="00130705">
      <w:pPr>
        <w:pStyle w:val="ListParagraph"/>
        <w:numPr>
          <w:ilvl w:val="1"/>
          <w:numId w:val="11"/>
        </w:numPr>
        <w:autoSpaceDE w:val="0"/>
        <w:autoSpaceDN w:val="0"/>
        <w:adjustRightInd w:val="0"/>
        <w:ind w:left="1797" w:hanging="357"/>
        <w:contextualSpacing w:val="0"/>
        <w:rPr>
          <w:rFonts w:asciiTheme="minorHAnsi" w:hAnsiTheme="minorHAnsi" w:cs="Calibri"/>
          <w:b/>
          <w:bCs/>
          <w:color w:val="000000"/>
        </w:rPr>
      </w:pPr>
      <w:r w:rsidRPr="00C114C6">
        <w:rPr>
          <w:rFonts w:asciiTheme="minorHAnsi" w:eastAsia="Calibri" w:hAnsiTheme="minorHAnsi" w:cs="Calibri"/>
          <w:b/>
          <w:bCs/>
          <w:color w:val="000000"/>
          <w:lang w:val="en-GB" w:bidi="en-GB"/>
        </w:rPr>
        <w:t>language skills.</w:t>
      </w:r>
    </w:p>
    <w:p w14:paraId="13A85891" w14:textId="1BF1B2F3" w:rsidR="002D3B73" w:rsidRPr="00C114C6" w:rsidRDefault="002D3B73" w:rsidP="0084488A">
      <w:pPr>
        <w:rPr>
          <w:b/>
          <w:bCs/>
        </w:rPr>
      </w:pPr>
      <w:r w:rsidRPr="00C114C6">
        <w:rPr>
          <w:b/>
          <w:bCs/>
          <w:lang w:bidi="en-GB"/>
        </w:rPr>
        <w:t xml:space="preserve">Fulfilment of the </w:t>
      </w:r>
      <w:r w:rsidR="0078799C" w:rsidRPr="00C114C6">
        <w:rPr>
          <w:b/>
          <w:bCs/>
          <w:lang w:bidi="en-GB"/>
        </w:rPr>
        <w:t>above-mentioned</w:t>
      </w:r>
      <w:r w:rsidRPr="00C114C6">
        <w:rPr>
          <w:b/>
          <w:bCs/>
          <w:lang w:bidi="en-GB"/>
        </w:rPr>
        <w:t xml:space="preserve"> competence requirements for Level 1, Level 2 and Level 3 consultant shall be demonstrated in the attached CV of each consultant.</w:t>
      </w:r>
      <w:r w:rsidR="00AA5B0E" w:rsidRPr="00C114C6">
        <w:rPr>
          <w:b/>
          <w:bCs/>
          <w:lang w:bidi="en-GB"/>
        </w:rPr>
        <w:t xml:space="preserve"> </w:t>
      </w:r>
      <w:r w:rsidR="00AA5B0E" w:rsidRPr="00C114C6">
        <w:rPr>
          <w:b/>
          <w:bCs/>
        </w:rPr>
        <w:t xml:space="preserve">The templates in Appendix 10, 11 and 12 shall be used. </w:t>
      </w:r>
    </w:p>
    <w:p w14:paraId="0FA234AF" w14:textId="7C18D88E" w:rsidR="00C114C6" w:rsidRPr="00C114C6" w:rsidRDefault="00C114C6" w:rsidP="00C114C6">
      <w:pPr>
        <w:rPr>
          <w:rFonts w:asciiTheme="minorHAnsi" w:hAnsiTheme="minorHAnsi" w:cs="Calibri"/>
          <w:b/>
          <w:bCs/>
          <w:color w:val="000000"/>
        </w:rPr>
      </w:pPr>
      <w:r w:rsidRPr="00C114C6">
        <w:rPr>
          <w:b/>
          <w:bCs/>
        </w:rPr>
        <w:t xml:space="preserve">The tender shall include </w:t>
      </w:r>
      <w:r w:rsidRPr="00C114C6">
        <w:rPr>
          <w:rFonts w:asciiTheme="minorHAnsi" w:eastAsia="Calibri" w:hAnsiTheme="minorHAnsi" w:cs="Calibri"/>
          <w:b/>
          <w:bCs/>
          <w:color w:val="000000"/>
          <w:lang w:val="en-GB" w:bidi="en-GB"/>
        </w:rPr>
        <w:t xml:space="preserve">One reference of previous assignment of relevance for this framework, for each level 1 consultant, see appendix </w:t>
      </w:r>
      <w:proofErr w:type="gramStart"/>
      <w:r w:rsidRPr="00C114C6">
        <w:rPr>
          <w:rFonts w:asciiTheme="minorHAnsi" w:eastAsia="Calibri" w:hAnsiTheme="minorHAnsi" w:cs="Calibri"/>
          <w:b/>
          <w:bCs/>
          <w:color w:val="000000"/>
          <w:lang w:val="en-GB" w:bidi="en-GB"/>
        </w:rPr>
        <w:t>13</w:t>
      </w:r>
      <w:proofErr w:type="gramEnd"/>
    </w:p>
    <w:p w14:paraId="484E85C9" w14:textId="77777777" w:rsidR="002D3B73" w:rsidRDefault="002D3B73" w:rsidP="00EF089E">
      <w:pPr>
        <w:pStyle w:val="Heading2"/>
        <w:rPr>
          <w:color w:val="000000" w:themeColor="text1"/>
        </w:rPr>
      </w:pPr>
      <w:bookmarkStart w:id="8" w:name="_Hlk500929835"/>
      <w:r>
        <w:rPr>
          <w:color w:val="000000" w:themeColor="text1"/>
          <w:lang w:val="en-GB" w:bidi="en-GB"/>
        </w:rPr>
        <w:t xml:space="preserve">4.13. Measures to limit travel </w:t>
      </w:r>
      <w:r>
        <w:rPr>
          <w:lang w:val="en-GB" w:bidi="en-GB"/>
        </w:rPr>
        <w:t>For framework agreements and in the event that the implementation of the call-off order entails travel</w:t>
      </w:r>
    </w:p>
    <w:p w14:paraId="076F3DF3" w14:textId="77777777" w:rsidR="002D3B73" w:rsidRDefault="002D3B73" w:rsidP="00EF089E">
      <w:r>
        <w:rPr>
          <w:lang w:val="en-GB" w:bidi="en-GB"/>
        </w:rPr>
        <w:t xml:space="preserve">Tenderers </w:t>
      </w:r>
      <w:r w:rsidRPr="00F364CC">
        <w:rPr>
          <w:b/>
          <w:lang w:val="en-GB" w:bidi="en-GB"/>
        </w:rPr>
        <w:t>shall</w:t>
      </w:r>
      <w:r>
        <w:rPr>
          <w:lang w:val="en-GB" w:bidi="en-GB"/>
        </w:rPr>
        <w:t xml:space="preserve"> provide a description regarding the measures that will be taken to limit the number of trips (especially air travel) while implementing future call-off orders. The description must include the following:</w:t>
      </w:r>
    </w:p>
    <w:p w14:paraId="3F2531FE" w14:textId="324D61FE" w:rsidR="002D3B73" w:rsidRPr="005243B6" w:rsidRDefault="002D3B73" w:rsidP="002D3B73">
      <w:pPr>
        <w:pStyle w:val="ListParagraph"/>
        <w:numPr>
          <w:ilvl w:val="0"/>
          <w:numId w:val="12"/>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 xml:space="preserve">Alternative measures to limit the number of trips, especially air travel, in implementing the assignment. Examples of such alternative measures may include that the tenderer hires local consultants and uses resources in the immediate area, for example by travelling to a neighbouring country, using ICT resources, or similar measures. </w:t>
      </w:r>
    </w:p>
    <w:p w14:paraId="24A58677" w14:textId="77777777" w:rsidR="005243B6" w:rsidRPr="005243B6" w:rsidRDefault="005243B6" w:rsidP="005243B6">
      <w:pPr>
        <w:autoSpaceDE w:val="0"/>
        <w:autoSpaceDN w:val="0"/>
        <w:adjustRightInd w:val="0"/>
        <w:rPr>
          <w:rFonts w:asciiTheme="minorHAnsi" w:hAnsiTheme="minorHAnsi" w:cs="Calibri"/>
          <w:color w:val="000000"/>
          <w:lang w:val="en-GB"/>
        </w:rPr>
      </w:pPr>
    </w:p>
    <w:bookmarkEnd w:id="8"/>
    <w:p w14:paraId="10FBBCA9" w14:textId="0A04B8FB" w:rsidR="002D3B73" w:rsidRDefault="002D3B73" w:rsidP="00EF089E">
      <w:pPr>
        <w:pStyle w:val="Heading2"/>
      </w:pPr>
      <w:r>
        <w:rPr>
          <w:lang w:val="en-GB" w:bidi="en-GB"/>
        </w:rPr>
        <w:t xml:space="preserve">4.14. Reporting and documentation </w:t>
      </w:r>
    </w:p>
    <w:p w14:paraId="5D7828A3" w14:textId="4F2F84D0" w:rsidR="00E6702B" w:rsidRDefault="00E6702B" w:rsidP="00EF089E">
      <w:pPr>
        <w:rPr>
          <w:rFonts w:asciiTheme="minorHAnsi" w:eastAsia="Calibri" w:hAnsiTheme="minorHAnsi" w:cs="Calibri"/>
          <w:color w:val="000000"/>
          <w:lang w:val="en-GB" w:bidi="en-GB"/>
        </w:rPr>
      </w:pPr>
      <w:r>
        <w:t xml:space="preserve">Reporting shall always be done in writing (English language) and orally upon request. Reporting shall when applicable include Management Letters with Management’s Response. </w:t>
      </w:r>
      <w:r w:rsidRPr="00E6702B">
        <w:rPr>
          <w:rFonts w:asciiTheme="minorHAnsi" w:eastAsia="Calibri" w:hAnsiTheme="minorHAnsi" w:cs="Calibri"/>
          <w:color w:val="000000"/>
          <w:lang w:val="en-GB" w:bidi="en-GB"/>
        </w:rPr>
        <w:t>“It should be possible to be provided with specific needed reports at no extra cost.”</w:t>
      </w:r>
    </w:p>
    <w:p w14:paraId="6D06FDF8" w14:textId="77777777" w:rsidR="00350AEF" w:rsidRPr="00350AEF" w:rsidRDefault="00350AEF" w:rsidP="00EF089E">
      <w:pPr>
        <w:rPr>
          <w:rFonts w:asciiTheme="minorHAnsi" w:eastAsia="Calibri" w:hAnsiTheme="minorHAnsi" w:cs="Calibri"/>
          <w:color w:val="000000"/>
          <w:lang w:val="en-GB" w:bidi="en-GB"/>
        </w:rPr>
      </w:pPr>
    </w:p>
    <w:p w14:paraId="041705BB" w14:textId="253A05C2" w:rsidR="007500C1" w:rsidRPr="001B13A5" w:rsidRDefault="007500C1" w:rsidP="00EF089E">
      <w:pPr>
        <w:rPr>
          <w:rFonts w:ascii="Arial" w:eastAsiaTheme="majorEastAsia" w:hAnsi="Arial" w:cstheme="majorBidi"/>
          <w:b/>
          <w:i/>
          <w:iCs/>
          <w:sz w:val="32"/>
          <w:szCs w:val="32"/>
          <w:lang w:val="en-GB" w:bidi="en-GB"/>
        </w:rPr>
      </w:pPr>
      <w:r w:rsidRPr="007500C1">
        <w:rPr>
          <w:rFonts w:ascii="Arial" w:eastAsiaTheme="majorEastAsia" w:hAnsi="Arial" w:cstheme="majorBidi"/>
          <w:b/>
          <w:sz w:val="32"/>
          <w:szCs w:val="32"/>
          <w:lang w:val="en-GB" w:bidi="en-GB"/>
        </w:rPr>
        <w:t>4.15</w:t>
      </w:r>
      <w:r>
        <w:rPr>
          <w:rFonts w:ascii="Arial" w:eastAsiaTheme="majorEastAsia" w:hAnsi="Arial" w:cstheme="majorBidi"/>
          <w:b/>
          <w:sz w:val="32"/>
          <w:szCs w:val="32"/>
          <w:lang w:val="en-GB" w:bidi="en-GB"/>
        </w:rPr>
        <w:t xml:space="preserve"> Statistics</w:t>
      </w:r>
    </w:p>
    <w:p w14:paraId="0F0405FA" w14:textId="36E7CADE" w:rsidR="00FE3F39" w:rsidRPr="00BB6559" w:rsidRDefault="00FE3F39" w:rsidP="00FE3F39">
      <w:pPr>
        <w:autoSpaceDE w:val="0"/>
        <w:autoSpaceDN w:val="0"/>
        <w:adjustRightInd w:val="0"/>
        <w:rPr>
          <w:rFonts w:asciiTheme="minorHAnsi" w:eastAsia="Calibri" w:hAnsiTheme="minorHAnsi" w:cs="Calibri"/>
          <w:color w:val="000000"/>
          <w:lang w:val="en-GB" w:bidi="en-GB"/>
        </w:rPr>
      </w:pPr>
      <w:r w:rsidRPr="00BB6559">
        <w:rPr>
          <w:rFonts w:asciiTheme="minorHAnsi" w:eastAsia="Calibri" w:hAnsiTheme="minorHAnsi" w:cs="Calibri"/>
          <w:color w:val="000000"/>
          <w:lang w:val="en-GB" w:bidi="en-GB"/>
        </w:rPr>
        <w:t>The tenderer shall, at the request of the Embassy, provide statistics regarding the use of the Framework Agreement.</w:t>
      </w:r>
    </w:p>
    <w:p w14:paraId="2865FCCC" w14:textId="0EC1A91F" w:rsidR="00FE3F39" w:rsidRPr="00BB6559" w:rsidRDefault="00FE3F39" w:rsidP="00FE3F39">
      <w:pPr>
        <w:autoSpaceDE w:val="0"/>
        <w:autoSpaceDN w:val="0"/>
        <w:adjustRightInd w:val="0"/>
        <w:rPr>
          <w:rFonts w:asciiTheme="minorHAnsi" w:eastAsia="Calibri" w:hAnsiTheme="minorHAnsi" w:cs="Calibri"/>
          <w:color w:val="000000"/>
          <w:lang w:val="en-GB" w:bidi="en-GB"/>
        </w:rPr>
      </w:pPr>
      <w:r w:rsidRPr="00BB6559">
        <w:rPr>
          <w:rFonts w:asciiTheme="minorHAnsi" w:eastAsia="Calibri" w:hAnsiTheme="minorHAnsi" w:cs="Calibri"/>
          <w:color w:val="000000"/>
          <w:lang w:val="en-GB" w:bidi="en-GB"/>
        </w:rPr>
        <w:t xml:space="preserve">The statistics shall be reported </w:t>
      </w:r>
      <w:r w:rsidRPr="003F7C57">
        <w:rPr>
          <w:rFonts w:asciiTheme="minorHAnsi" w:eastAsia="Calibri" w:hAnsiTheme="minorHAnsi" w:cs="Calibri"/>
          <w:color w:val="000000"/>
          <w:lang w:val="en-GB" w:bidi="en-GB"/>
        </w:rPr>
        <w:t>once (1) every year.</w:t>
      </w:r>
    </w:p>
    <w:p w14:paraId="6FA23D5B" w14:textId="4C0D3309" w:rsidR="00FE3F39" w:rsidRPr="003F7C57" w:rsidRDefault="00FE3F39" w:rsidP="00FE3F39">
      <w:pPr>
        <w:autoSpaceDE w:val="0"/>
        <w:autoSpaceDN w:val="0"/>
        <w:adjustRightInd w:val="0"/>
        <w:rPr>
          <w:rFonts w:asciiTheme="minorHAnsi" w:eastAsia="Calibri" w:hAnsiTheme="minorHAnsi" w:cs="Calibri"/>
          <w:color w:val="000000"/>
          <w:lang w:val="en-GB" w:bidi="en-GB"/>
        </w:rPr>
      </w:pPr>
      <w:r w:rsidRPr="00BB6559">
        <w:rPr>
          <w:rFonts w:asciiTheme="minorHAnsi" w:eastAsia="Calibri" w:hAnsiTheme="minorHAnsi" w:cs="Calibri"/>
          <w:color w:val="000000"/>
          <w:lang w:val="en-GB" w:bidi="en-GB"/>
        </w:rPr>
        <w:t>The statistics shall contain the following:</w:t>
      </w:r>
    </w:p>
    <w:p w14:paraId="3E18C837" w14:textId="77777777" w:rsidR="00FE3F39" w:rsidRPr="003F7C57" w:rsidRDefault="00FE3F39" w:rsidP="00D679BA">
      <w:pPr>
        <w:autoSpaceDE w:val="0"/>
        <w:autoSpaceDN w:val="0"/>
        <w:adjustRightInd w:val="0"/>
        <w:spacing w:after="0"/>
        <w:rPr>
          <w:rFonts w:asciiTheme="minorHAnsi" w:eastAsia="Calibri" w:hAnsiTheme="minorHAnsi" w:cs="Calibri"/>
          <w:i/>
          <w:iCs/>
          <w:lang w:val="en-GB" w:bidi="en-GB"/>
        </w:rPr>
      </w:pPr>
      <w:r w:rsidRPr="003F7C57">
        <w:rPr>
          <w:rFonts w:asciiTheme="minorHAnsi" w:eastAsia="Calibri" w:hAnsiTheme="minorHAnsi" w:cs="Calibri"/>
          <w:i/>
          <w:iCs/>
          <w:lang w:val="en-GB" w:bidi="en-GB"/>
        </w:rPr>
        <w:t>- Total amount of call-offs</w:t>
      </w:r>
    </w:p>
    <w:p w14:paraId="29EAFD74" w14:textId="77777777" w:rsidR="00FE3F39" w:rsidRPr="003F7C57" w:rsidRDefault="00FE3F39" w:rsidP="00D679BA">
      <w:pPr>
        <w:autoSpaceDE w:val="0"/>
        <w:autoSpaceDN w:val="0"/>
        <w:adjustRightInd w:val="0"/>
        <w:spacing w:after="0"/>
        <w:rPr>
          <w:rFonts w:asciiTheme="minorHAnsi" w:eastAsia="Calibri" w:hAnsiTheme="minorHAnsi" w:cs="Calibri"/>
          <w:i/>
          <w:iCs/>
          <w:lang w:val="en-GB" w:bidi="en-GB"/>
        </w:rPr>
      </w:pPr>
      <w:r w:rsidRPr="003F7C57">
        <w:rPr>
          <w:rFonts w:asciiTheme="minorHAnsi" w:eastAsia="Calibri" w:hAnsiTheme="minorHAnsi" w:cs="Calibri"/>
          <w:i/>
          <w:iCs/>
          <w:lang w:val="en-GB" w:bidi="en-GB"/>
        </w:rPr>
        <w:t>- Specification of Service / assignment</w:t>
      </w:r>
    </w:p>
    <w:p w14:paraId="5B18D2CE" w14:textId="77777777" w:rsidR="00D679BA" w:rsidRPr="00BB6559" w:rsidRDefault="00D679BA" w:rsidP="00D679BA">
      <w:pPr>
        <w:autoSpaceDE w:val="0"/>
        <w:autoSpaceDN w:val="0"/>
        <w:adjustRightInd w:val="0"/>
        <w:spacing w:after="0"/>
        <w:rPr>
          <w:rFonts w:asciiTheme="minorHAnsi" w:eastAsia="Calibri" w:hAnsiTheme="minorHAnsi" w:cs="Calibri"/>
          <w:color w:val="FF0000"/>
          <w:lang w:val="en-GB" w:bidi="en-GB"/>
        </w:rPr>
      </w:pPr>
    </w:p>
    <w:p w14:paraId="0C81D3E9" w14:textId="44F9F5AB" w:rsidR="00FE3F39" w:rsidRPr="00BB6559" w:rsidRDefault="00FE3F39" w:rsidP="00FE3F39">
      <w:pPr>
        <w:autoSpaceDE w:val="0"/>
        <w:autoSpaceDN w:val="0"/>
        <w:adjustRightInd w:val="0"/>
        <w:rPr>
          <w:rFonts w:asciiTheme="minorHAnsi" w:eastAsia="Calibri" w:hAnsiTheme="minorHAnsi" w:cs="Calibri"/>
          <w:color w:val="000000"/>
          <w:lang w:val="en-GB" w:bidi="en-GB"/>
        </w:rPr>
      </w:pPr>
      <w:r w:rsidRPr="00BB6559">
        <w:rPr>
          <w:rFonts w:asciiTheme="minorHAnsi" w:eastAsia="Calibri" w:hAnsiTheme="minorHAnsi" w:cs="Calibri"/>
          <w:color w:val="000000"/>
          <w:lang w:val="en-GB" w:bidi="en-GB"/>
        </w:rPr>
        <w:t xml:space="preserve">The </w:t>
      </w:r>
      <w:r w:rsidR="00DA3C23">
        <w:rPr>
          <w:rFonts w:asciiTheme="minorHAnsi" w:eastAsia="Calibri" w:hAnsiTheme="minorHAnsi" w:cs="Calibri"/>
          <w:color w:val="000000"/>
          <w:lang w:val="en-GB" w:bidi="en-GB"/>
        </w:rPr>
        <w:t>tenderer</w:t>
      </w:r>
      <w:r w:rsidRPr="00BB6559">
        <w:rPr>
          <w:rFonts w:asciiTheme="minorHAnsi" w:eastAsia="Calibri" w:hAnsiTheme="minorHAnsi" w:cs="Calibri"/>
          <w:color w:val="000000"/>
          <w:lang w:val="en-GB" w:bidi="en-GB"/>
        </w:rPr>
        <w:t xml:space="preserve"> shall deliver requested statistics in digital form that is readable in publicly available cell-based calculation software, such as Excel or equivalent.</w:t>
      </w:r>
    </w:p>
    <w:p w14:paraId="4F3004DB" w14:textId="4278D785" w:rsidR="002D3B73" w:rsidRDefault="002D3B73" w:rsidP="00EF089E">
      <w:pPr>
        <w:pStyle w:val="Heading1"/>
      </w:pPr>
      <w:r>
        <w:rPr>
          <w:rFonts w:eastAsia="Calibri"/>
          <w:lang w:val="en-GB" w:bidi="en-GB"/>
        </w:rPr>
        <w:lastRenderedPageBreak/>
        <w:t xml:space="preserve">5. </w:t>
      </w:r>
      <w:r w:rsidRPr="00EF089E">
        <w:t>Evaluation</w:t>
      </w:r>
      <w:r>
        <w:rPr>
          <w:rFonts w:eastAsia="Calibri"/>
          <w:lang w:val="en-GB" w:bidi="en-GB"/>
        </w:rPr>
        <w:t xml:space="preserve"> criteria</w:t>
      </w:r>
    </w:p>
    <w:p w14:paraId="58CD90C0" w14:textId="1E77072D" w:rsidR="002D3B73" w:rsidRDefault="002D3B73" w:rsidP="00441B1D">
      <w:pPr>
        <w:pStyle w:val="Heading2"/>
      </w:pPr>
      <w:r>
        <w:rPr>
          <w:lang w:val="en-GB" w:bidi="en-GB"/>
        </w:rPr>
        <w:t>5.1. Organisation of call-off orders</w:t>
      </w:r>
      <w:r w:rsidR="00604CDB">
        <w:rPr>
          <w:lang w:val="en-GB" w:bidi="en-GB"/>
        </w:rPr>
        <w:t xml:space="preserve"> (</w:t>
      </w:r>
      <w:r>
        <w:rPr>
          <w:lang w:val="en-GB" w:bidi="en-GB"/>
        </w:rPr>
        <w:t xml:space="preserve">maximum </w:t>
      </w:r>
      <w:r w:rsidR="00B94080">
        <w:rPr>
          <w:lang w:val="en-GB" w:bidi="en-GB"/>
        </w:rPr>
        <w:t>20</w:t>
      </w:r>
      <w:r w:rsidR="00604CDB">
        <w:rPr>
          <w:lang w:val="en-GB" w:bidi="en-GB"/>
        </w:rPr>
        <w:t xml:space="preserve"> </w:t>
      </w:r>
      <w:r>
        <w:rPr>
          <w:lang w:val="en-GB" w:bidi="en-GB"/>
        </w:rPr>
        <w:t>points</w:t>
      </w:r>
      <w:r w:rsidR="00604CDB">
        <w:rPr>
          <w:lang w:val="en-GB" w:bidi="en-GB"/>
        </w:rPr>
        <w:t>)</w:t>
      </w:r>
    </w:p>
    <w:p w14:paraId="40E3C7B1" w14:textId="247A44A8" w:rsidR="00F31515" w:rsidRPr="00D17E02" w:rsidRDefault="00F31515" w:rsidP="00D17E02">
      <w:pPr>
        <w:rPr>
          <w:rFonts w:eastAsia="Calibri"/>
          <w:color w:val="000000"/>
          <w:lang w:val="en-GB" w:bidi="en-GB"/>
        </w:rPr>
      </w:pPr>
      <w:r w:rsidRPr="00D17E02">
        <w:t>The assessment and scoring of the submitted description of staffing for future assignments/call-off orders will be done in accordance with the section “Evaluation of tenders.”</w:t>
      </w:r>
    </w:p>
    <w:p w14:paraId="3EA8268D" w14:textId="3A03F337" w:rsidR="00F31515" w:rsidRPr="00D17E02" w:rsidRDefault="002D3B73" w:rsidP="00D17E02">
      <w:pPr>
        <w:rPr>
          <w:i/>
          <w:color w:val="FF0000"/>
        </w:rPr>
      </w:pPr>
      <w:r w:rsidRPr="00D17E02">
        <w:rPr>
          <w:lang w:val="en-GB" w:bidi="en-GB"/>
        </w:rPr>
        <w:t>In the assessment, the following will be reviewed:</w:t>
      </w:r>
    </w:p>
    <w:p w14:paraId="1EEE6643" w14:textId="14F941B3" w:rsidR="00A824DE" w:rsidRPr="00604CDB" w:rsidRDefault="000C7F8C" w:rsidP="00D17E02">
      <w:pPr>
        <w:pStyle w:val="ListParagraph"/>
        <w:numPr>
          <w:ilvl w:val="0"/>
          <w:numId w:val="8"/>
        </w:numPr>
        <w:autoSpaceDE w:val="0"/>
        <w:autoSpaceDN w:val="0"/>
        <w:adjustRightInd w:val="0"/>
        <w:ind w:left="714" w:hanging="357"/>
        <w:rPr>
          <w:rFonts w:asciiTheme="minorHAnsi" w:eastAsiaTheme="majorEastAsia" w:hAnsiTheme="minorHAnsi" w:cs="Calibri"/>
          <w:color w:val="000000" w:themeColor="text1"/>
          <w:sz w:val="32"/>
          <w:szCs w:val="32"/>
        </w:rPr>
      </w:pPr>
      <w:r w:rsidRPr="00D17E02">
        <w:rPr>
          <w:rFonts w:asciiTheme="minorHAnsi" w:hAnsiTheme="minorHAnsi" w:cs="Calibri"/>
          <w:color w:val="000000" w:themeColor="text1"/>
        </w:rPr>
        <w:t>How the tenderer intends to ensure the staffing for future call-off assignments</w:t>
      </w:r>
      <w:r w:rsidR="00604CDB">
        <w:rPr>
          <w:rFonts w:asciiTheme="minorHAnsi" w:hAnsiTheme="minorHAnsi" w:cs="Calibri"/>
          <w:color w:val="000000" w:themeColor="text1"/>
        </w:rPr>
        <w:t xml:space="preserve"> (10</w:t>
      </w:r>
      <w:r w:rsidRPr="00D17E02">
        <w:rPr>
          <w:rFonts w:asciiTheme="minorHAnsi" w:hAnsiTheme="minorHAnsi" w:cs="Calibri"/>
          <w:color w:val="000000" w:themeColor="text1"/>
        </w:rPr>
        <w:t xml:space="preserve"> points</w:t>
      </w:r>
      <w:r w:rsidR="00604CDB">
        <w:rPr>
          <w:rFonts w:asciiTheme="minorHAnsi" w:hAnsiTheme="minorHAnsi" w:cs="Calibri"/>
          <w:color w:val="000000" w:themeColor="text1"/>
        </w:rPr>
        <w:t>)</w:t>
      </w:r>
    </w:p>
    <w:p w14:paraId="395A2C92" w14:textId="0701BA72" w:rsidR="00604CDB" w:rsidRPr="00D17E02" w:rsidRDefault="00604CDB" w:rsidP="00D17E02">
      <w:pPr>
        <w:pStyle w:val="ListParagraph"/>
        <w:numPr>
          <w:ilvl w:val="0"/>
          <w:numId w:val="8"/>
        </w:numPr>
        <w:autoSpaceDE w:val="0"/>
        <w:autoSpaceDN w:val="0"/>
        <w:adjustRightInd w:val="0"/>
        <w:ind w:left="714" w:hanging="357"/>
        <w:rPr>
          <w:rFonts w:asciiTheme="minorHAnsi" w:eastAsiaTheme="majorEastAsia" w:hAnsiTheme="minorHAnsi" w:cs="Calibri"/>
          <w:color w:val="000000" w:themeColor="text1"/>
          <w:sz w:val="32"/>
          <w:szCs w:val="32"/>
        </w:rPr>
      </w:pPr>
      <w:r>
        <w:t>The tenderer’s network and co-operations that will facilitate the implementation of future assignments (10 points).</w:t>
      </w:r>
    </w:p>
    <w:p w14:paraId="01EBB706" w14:textId="59CCEEDF" w:rsidR="002D3B73" w:rsidRDefault="002D3B73" w:rsidP="009305FB">
      <w:pPr>
        <w:pStyle w:val="Heading2"/>
      </w:pPr>
      <w:r>
        <w:rPr>
          <w:lang w:val="en-GB" w:bidi="en-GB"/>
        </w:rPr>
        <w:t>5.2. Quality assurance</w:t>
      </w:r>
      <w:r w:rsidR="006D6535">
        <w:rPr>
          <w:lang w:val="en-GB" w:bidi="en-GB"/>
        </w:rPr>
        <w:t xml:space="preserve"> routines</w:t>
      </w:r>
      <w:r>
        <w:rPr>
          <w:lang w:val="en-GB" w:bidi="en-GB"/>
        </w:rPr>
        <w:t xml:space="preserve"> </w:t>
      </w:r>
      <w:r w:rsidR="003650A9">
        <w:rPr>
          <w:lang w:val="en-GB" w:bidi="en-GB"/>
        </w:rPr>
        <w:t>(</w:t>
      </w:r>
      <w:r>
        <w:rPr>
          <w:lang w:val="en-GB" w:bidi="en-GB"/>
        </w:rPr>
        <w:t xml:space="preserve">maximum </w:t>
      </w:r>
      <w:r w:rsidR="00B94080">
        <w:rPr>
          <w:lang w:val="en-GB" w:bidi="en-GB"/>
        </w:rPr>
        <w:t>2</w:t>
      </w:r>
      <w:r w:rsidR="003650A9">
        <w:rPr>
          <w:lang w:val="en-GB" w:bidi="en-GB"/>
        </w:rPr>
        <w:t xml:space="preserve">0 </w:t>
      </w:r>
      <w:r>
        <w:rPr>
          <w:lang w:val="en-GB" w:bidi="en-GB"/>
        </w:rPr>
        <w:t>points</w:t>
      </w:r>
      <w:r w:rsidR="003650A9">
        <w:rPr>
          <w:lang w:val="en-GB" w:bidi="en-GB"/>
        </w:rPr>
        <w:t>)</w:t>
      </w:r>
      <w:r w:rsidR="005D5886">
        <w:rPr>
          <w:i/>
          <w:color w:val="FF0000"/>
          <w:lang w:val="en-GB" w:bidi="en-GB"/>
        </w:rPr>
        <w:t xml:space="preserve"> </w:t>
      </w:r>
    </w:p>
    <w:p w14:paraId="3AF2180F" w14:textId="77777777" w:rsidR="00A72EA1" w:rsidRDefault="00A72EA1" w:rsidP="009305FB">
      <w:r w:rsidRPr="00A72EA1">
        <w:t>The assessment and scoring of the submitted description of quality assurance routines will be done in accordance with the section “Evaluation of tenders.”</w:t>
      </w:r>
    </w:p>
    <w:p w14:paraId="38248002" w14:textId="279145C7" w:rsidR="00A72EA1" w:rsidRDefault="00A72EA1" w:rsidP="009305FB">
      <w:pPr>
        <w:rPr>
          <w:rFonts w:eastAsia="Calibri"/>
          <w:i/>
          <w:color w:val="FF0000"/>
          <w:lang w:val="en-GB" w:bidi="en-GB"/>
        </w:rPr>
      </w:pPr>
      <w:r w:rsidRPr="00A72EA1">
        <w:rPr>
          <w:rFonts w:eastAsia="Calibri"/>
          <w:color w:val="000000"/>
          <w:lang w:val="en-GB" w:bidi="en-GB"/>
        </w:rPr>
        <w:t>In the assessment, the following will be reviewed:</w:t>
      </w:r>
    </w:p>
    <w:p w14:paraId="6B4F99E7" w14:textId="2ABF8DEF" w:rsidR="00A72EA1" w:rsidRPr="00D17E02" w:rsidRDefault="00A72EA1" w:rsidP="00A72EA1">
      <w:pPr>
        <w:pStyle w:val="ListParagraph"/>
        <w:numPr>
          <w:ilvl w:val="0"/>
          <w:numId w:val="8"/>
        </w:numPr>
        <w:autoSpaceDE w:val="0"/>
        <w:autoSpaceDN w:val="0"/>
        <w:adjustRightInd w:val="0"/>
        <w:spacing w:after="0"/>
        <w:rPr>
          <w:rFonts w:asciiTheme="minorHAnsi" w:hAnsiTheme="minorHAnsi" w:cs="Calibri"/>
          <w:color w:val="000000" w:themeColor="text1"/>
        </w:rPr>
      </w:pPr>
      <w:r w:rsidRPr="00D17E02">
        <w:rPr>
          <w:rFonts w:asciiTheme="minorHAnsi" w:hAnsiTheme="minorHAnsi" w:cs="Calibri"/>
          <w:color w:val="000000" w:themeColor="text1"/>
        </w:rPr>
        <w:t>How the tenderer guarantees the quality of the service that is requested in this procurement</w:t>
      </w:r>
      <w:r w:rsidR="003650A9">
        <w:rPr>
          <w:rFonts w:asciiTheme="minorHAnsi" w:hAnsiTheme="minorHAnsi" w:cs="Calibri"/>
          <w:color w:val="000000" w:themeColor="text1"/>
        </w:rPr>
        <w:t xml:space="preserve"> (10 </w:t>
      </w:r>
      <w:r w:rsidRPr="00D17E02">
        <w:rPr>
          <w:rFonts w:asciiTheme="minorHAnsi" w:hAnsiTheme="minorHAnsi" w:cs="Calibri"/>
          <w:color w:val="000000" w:themeColor="text1"/>
        </w:rPr>
        <w:t>points</w:t>
      </w:r>
      <w:r w:rsidR="003650A9">
        <w:rPr>
          <w:rFonts w:asciiTheme="minorHAnsi" w:hAnsiTheme="minorHAnsi" w:cs="Calibri"/>
          <w:color w:val="000000" w:themeColor="text1"/>
        </w:rPr>
        <w:t>)</w:t>
      </w:r>
      <w:r w:rsidRPr="00D17E02">
        <w:rPr>
          <w:rFonts w:asciiTheme="minorHAnsi" w:hAnsiTheme="minorHAnsi" w:cs="Calibri"/>
          <w:color w:val="000000" w:themeColor="text1"/>
        </w:rPr>
        <w:t> </w:t>
      </w:r>
    </w:p>
    <w:p w14:paraId="0B63A0A0" w14:textId="5895AD16" w:rsidR="002D3B73" w:rsidRPr="00D17E02" w:rsidRDefault="00A824DE" w:rsidP="00A824DE">
      <w:pPr>
        <w:pStyle w:val="ListParagraph"/>
        <w:numPr>
          <w:ilvl w:val="0"/>
          <w:numId w:val="8"/>
        </w:numPr>
        <w:autoSpaceDE w:val="0"/>
        <w:autoSpaceDN w:val="0"/>
        <w:adjustRightInd w:val="0"/>
        <w:spacing w:after="0"/>
        <w:rPr>
          <w:rFonts w:asciiTheme="minorHAnsi" w:hAnsiTheme="minorHAnsi" w:cs="Calibri"/>
          <w:color w:val="000000" w:themeColor="text1"/>
        </w:rPr>
      </w:pPr>
      <w:r w:rsidRPr="00D17E02">
        <w:rPr>
          <w:rFonts w:asciiTheme="minorHAnsi" w:hAnsiTheme="minorHAnsi" w:cs="Calibri"/>
          <w:color w:val="000000" w:themeColor="text1"/>
        </w:rPr>
        <w:t>How the tenderer shall prevent and manage any deviations from the agreed-upon level of quality</w:t>
      </w:r>
      <w:r w:rsidR="003650A9">
        <w:rPr>
          <w:rFonts w:asciiTheme="minorHAnsi" w:hAnsiTheme="minorHAnsi" w:cs="Calibri"/>
          <w:color w:val="000000" w:themeColor="text1"/>
        </w:rPr>
        <w:t xml:space="preserve"> (10 </w:t>
      </w:r>
      <w:r w:rsidRPr="00D17E02">
        <w:rPr>
          <w:rFonts w:asciiTheme="minorHAnsi" w:hAnsiTheme="minorHAnsi" w:cs="Calibri"/>
          <w:color w:val="000000" w:themeColor="text1"/>
        </w:rPr>
        <w:t>points</w:t>
      </w:r>
      <w:r w:rsidR="003650A9">
        <w:rPr>
          <w:rFonts w:asciiTheme="minorHAnsi" w:hAnsiTheme="minorHAnsi" w:cs="Calibri"/>
          <w:color w:val="000000" w:themeColor="text1"/>
        </w:rPr>
        <w:t>)</w:t>
      </w:r>
    </w:p>
    <w:p w14:paraId="48663424" w14:textId="2E17D4B3" w:rsidR="002D3B73" w:rsidRPr="00EE4A21" w:rsidRDefault="002D3B73" w:rsidP="00EE4A21">
      <w:pPr>
        <w:pStyle w:val="Heading2"/>
      </w:pPr>
      <w:r>
        <w:rPr>
          <w:lang w:val="en-GB" w:bidi="en-GB"/>
        </w:rPr>
        <w:t xml:space="preserve">5.3. </w:t>
      </w:r>
      <w:r w:rsidR="00A620D4">
        <w:rPr>
          <w:lang w:val="en-GB" w:bidi="en-GB"/>
        </w:rPr>
        <w:t>Merits</w:t>
      </w:r>
      <w:r>
        <w:rPr>
          <w:lang w:val="en-GB" w:bidi="en-GB"/>
        </w:rPr>
        <w:t xml:space="preserve"> </w:t>
      </w:r>
      <w:r w:rsidR="003650A9">
        <w:rPr>
          <w:lang w:val="en-GB" w:bidi="en-GB"/>
        </w:rPr>
        <w:t>(</w:t>
      </w:r>
      <w:r>
        <w:rPr>
          <w:lang w:val="en-GB" w:bidi="en-GB"/>
        </w:rPr>
        <w:t xml:space="preserve">maximum </w:t>
      </w:r>
      <w:r w:rsidR="00B94080">
        <w:rPr>
          <w:lang w:val="en-GB" w:bidi="en-GB"/>
        </w:rPr>
        <w:t>55</w:t>
      </w:r>
      <w:r w:rsidR="003650A9">
        <w:rPr>
          <w:lang w:val="en-GB" w:bidi="en-GB"/>
        </w:rPr>
        <w:t xml:space="preserve"> </w:t>
      </w:r>
      <w:r>
        <w:rPr>
          <w:lang w:val="en-GB" w:bidi="en-GB"/>
        </w:rPr>
        <w:t>points</w:t>
      </w:r>
      <w:r w:rsidR="00EE4A21">
        <w:rPr>
          <w:lang w:val="en-GB" w:bidi="en-GB"/>
        </w:rPr>
        <w:t>)</w:t>
      </w:r>
    </w:p>
    <w:p w14:paraId="7522F487" w14:textId="3FB493D9" w:rsidR="00290CD0" w:rsidRPr="00755219" w:rsidRDefault="00290CD0" w:rsidP="00755219">
      <w:pPr>
        <w:autoSpaceDE w:val="0"/>
        <w:autoSpaceDN w:val="0"/>
        <w:spacing w:before="40" w:after="40"/>
      </w:pPr>
      <w:r w:rsidRPr="00290CD0">
        <w:t>Section 4.</w:t>
      </w:r>
      <w:r w:rsidR="00573DBA">
        <w:t>11</w:t>
      </w:r>
      <w:r w:rsidRPr="00290CD0">
        <w:t xml:space="preserve"> specifies the minimum requirements for proposed persons’ qualifications and competence. </w:t>
      </w:r>
      <w:r w:rsidR="00755219" w:rsidRPr="00755219">
        <w:t xml:space="preserve">The evaluation will be conducted on the basis of the below award </w:t>
      </w:r>
      <w:proofErr w:type="spellStart"/>
      <w:r w:rsidR="00755219" w:rsidRPr="00755219">
        <w:t>criteia</w:t>
      </w:r>
      <w:proofErr w:type="spellEnd"/>
      <w:r w:rsidR="00755219" w:rsidRPr="00755219">
        <w:t xml:space="preserve"> and scored in accordance with the section "Evaluation of </w:t>
      </w:r>
      <w:proofErr w:type="gramStart"/>
      <w:r w:rsidR="00755219" w:rsidRPr="00755219">
        <w:t>tenders</w:t>
      </w:r>
      <w:proofErr w:type="gramEnd"/>
      <w:r w:rsidR="00755219" w:rsidRPr="00755219">
        <w:t>"</w:t>
      </w:r>
    </w:p>
    <w:p w14:paraId="369F8348" w14:textId="1E328552" w:rsidR="00755219" w:rsidRPr="00755219" w:rsidRDefault="00755219" w:rsidP="00755219">
      <w:pPr>
        <w:autoSpaceDE w:val="0"/>
        <w:autoSpaceDN w:val="0"/>
        <w:spacing w:before="40" w:after="40"/>
      </w:pPr>
      <w:r w:rsidRPr="00755219">
        <w:t>In the assessment, the following will be reviewed</w:t>
      </w:r>
      <w:r w:rsidR="00195888">
        <w:t xml:space="preserve"> for the team as a whole:</w:t>
      </w:r>
    </w:p>
    <w:p w14:paraId="1D8F9000" w14:textId="0E5D2C85" w:rsidR="002D3B73" w:rsidRPr="00755219" w:rsidRDefault="00755219" w:rsidP="00755219">
      <w:pPr>
        <w:pStyle w:val="ListParagraph"/>
        <w:numPr>
          <w:ilvl w:val="0"/>
          <w:numId w:val="12"/>
        </w:numPr>
        <w:spacing w:after="0"/>
        <w:rPr>
          <w:rFonts w:asciiTheme="minorHAnsi" w:hAnsiTheme="minorHAnsi" w:cs="Calibri"/>
          <w:color w:val="000000"/>
        </w:rPr>
      </w:pPr>
      <w:r>
        <w:rPr>
          <w:rFonts w:asciiTheme="minorHAnsi" w:eastAsia="Calibri" w:hAnsiTheme="minorHAnsi" w:cs="Calibri"/>
          <w:color w:val="000000"/>
          <w:lang w:val="en-GB" w:bidi="en-GB"/>
        </w:rPr>
        <w:t>Exten</w:t>
      </w:r>
      <w:r w:rsidR="00195888">
        <w:rPr>
          <w:rFonts w:asciiTheme="minorHAnsi" w:eastAsia="Calibri" w:hAnsiTheme="minorHAnsi" w:cs="Calibri"/>
          <w:color w:val="000000"/>
          <w:lang w:val="en-GB" w:bidi="en-GB"/>
        </w:rPr>
        <w:t>t</w:t>
      </w:r>
      <w:r>
        <w:rPr>
          <w:rFonts w:asciiTheme="minorHAnsi" w:eastAsia="Calibri" w:hAnsiTheme="minorHAnsi" w:cs="Calibri"/>
          <w:color w:val="000000"/>
          <w:lang w:val="en-GB" w:bidi="en-GB"/>
        </w:rPr>
        <w:t xml:space="preserve"> of e</w:t>
      </w:r>
      <w:r w:rsidR="002D3B73" w:rsidRPr="00755219">
        <w:rPr>
          <w:rFonts w:asciiTheme="minorHAnsi" w:eastAsia="Calibri" w:hAnsiTheme="minorHAnsi" w:cs="Calibri"/>
          <w:color w:val="000000"/>
          <w:lang w:val="en-GB" w:bidi="en-GB"/>
        </w:rPr>
        <w:t xml:space="preserve">xperience working within </w:t>
      </w:r>
      <w:r w:rsidR="003F27EF" w:rsidRPr="00755219">
        <w:rPr>
          <w:rFonts w:asciiTheme="minorHAnsi" w:eastAsia="Calibri" w:hAnsiTheme="minorHAnsi" w:cs="Calibri"/>
          <w:color w:val="000000"/>
          <w:lang w:val="en-GB" w:bidi="en-GB"/>
        </w:rPr>
        <w:t xml:space="preserve">or </w:t>
      </w:r>
      <w:r w:rsidR="003F27EF">
        <w:t>been responsible for or participated in forensic audits and/or investigative.</w:t>
      </w:r>
      <w:r w:rsidR="002D72FB">
        <w:t xml:space="preserve"> (15 points)</w:t>
      </w:r>
    </w:p>
    <w:p w14:paraId="5F56F689" w14:textId="4878B651" w:rsidR="003730BC" w:rsidRPr="00195888" w:rsidRDefault="00195888" w:rsidP="00195888">
      <w:pPr>
        <w:pStyle w:val="ListParagraph"/>
        <w:numPr>
          <w:ilvl w:val="0"/>
          <w:numId w:val="12"/>
        </w:numPr>
        <w:autoSpaceDE w:val="0"/>
        <w:autoSpaceDN w:val="0"/>
        <w:spacing w:after="0"/>
        <w:rPr>
          <w:rFonts w:asciiTheme="minorHAnsi" w:eastAsia="Calibri" w:hAnsiTheme="minorHAnsi" w:cs="Calibri"/>
          <w:i/>
          <w:iCs/>
          <w:color w:val="000000"/>
          <w:lang w:val="en-GB" w:bidi="en-GB"/>
        </w:rPr>
      </w:pPr>
      <w:r w:rsidRPr="00195888">
        <w:rPr>
          <w:rFonts w:asciiTheme="minorHAnsi" w:eastAsia="Calibri" w:hAnsiTheme="minorHAnsi" w:cs="Calibri"/>
          <w:color w:val="000000"/>
          <w:lang w:val="en-GB" w:bidi="en-GB"/>
        </w:rPr>
        <w:t xml:space="preserve">Extent of experience of all other areas of the scope presented in the Terms of Reference </w:t>
      </w:r>
      <w:r w:rsidRPr="002D72FB">
        <w:rPr>
          <w:rFonts w:asciiTheme="minorHAnsi" w:eastAsia="Calibri" w:hAnsiTheme="minorHAnsi" w:cs="Calibri"/>
          <w:color w:val="000000"/>
          <w:lang w:val="en-GB" w:bidi="en-GB"/>
        </w:rPr>
        <w:t>(Capacity and Internal Control Assessment, Other Risk Management Assessments, Procurement Audit, Rolling Audit Services, Financial Audits (Different ISA), Accounting and Risk Management Technical Support, Capacity Building Services)</w:t>
      </w:r>
      <w:r w:rsidR="002D72FB" w:rsidRPr="002D72FB">
        <w:rPr>
          <w:rFonts w:asciiTheme="minorHAnsi" w:eastAsia="Calibri" w:hAnsiTheme="minorHAnsi" w:cs="Calibri"/>
          <w:color w:val="000000"/>
          <w:lang w:val="en-GB" w:bidi="en-GB"/>
        </w:rPr>
        <w:t xml:space="preserve"> (40 points)</w:t>
      </w:r>
    </w:p>
    <w:p w14:paraId="538A7070" w14:textId="06395EF4" w:rsidR="002D3B73" w:rsidRDefault="002D3B73" w:rsidP="00C61EF1">
      <w:pPr>
        <w:pStyle w:val="Heading2"/>
        <w:rPr>
          <w:color w:val="000000" w:themeColor="text1"/>
        </w:rPr>
      </w:pPr>
      <w:r>
        <w:rPr>
          <w:color w:val="000000" w:themeColor="text1"/>
          <w:lang w:val="en-GB" w:bidi="en-GB"/>
        </w:rPr>
        <w:t>5.</w:t>
      </w:r>
      <w:r w:rsidR="001E4CEA">
        <w:rPr>
          <w:color w:val="000000" w:themeColor="text1"/>
          <w:lang w:val="en-GB" w:bidi="en-GB"/>
        </w:rPr>
        <w:t>4</w:t>
      </w:r>
      <w:r>
        <w:rPr>
          <w:color w:val="000000" w:themeColor="text1"/>
          <w:lang w:val="en-GB" w:bidi="en-GB"/>
        </w:rPr>
        <w:t xml:space="preserve">. Measures to limit travel </w:t>
      </w:r>
      <w:r w:rsidR="009D4F25">
        <w:rPr>
          <w:color w:val="000000" w:themeColor="text1"/>
          <w:lang w:val="en-GB" w:bidi="en-GB"/>
        </w:rPr>
        <w:t>(</w:t>
      </w:r>
      <w:r>
        <w:rPr>
          <w:color w:val="000000" w:themeColor="text1"/>
          <w:lang w:val="en-GB" w:bidi="en-GB"/>
        </w:rPr>
        <w:t xml:space="preserve">maximum </w:t>
      </w:r>
      <w:r w:rsidR="00B94080">
        <w:rPr>
          <w:color w:val="000000" w:themeColor="text1"/>
          <w:lang w:val="en-GB" w:bidi="en-GB"/>
        </w:rPr>
        <w:t>5</w:t>
      </w:r>
      <w:r w:rsidR="009D4F25">
        <w:rPr>
          <w:color w:val="000000" w:themeColor="text1"/>
          <w:lang w:val="en-GB" w:bidi="en-GB"/>
        </w:rPr>
        <w:t xml:space="preserve"> </w:t>
      </w:r>
      <w:r>
        <w:rPr>
          <w:color w:val="000000" w:themeColor="text1"/>
          <w:lang w:val="en-GB" w:bidi="en-GB"/>
        </w:rPr>
        <w:t>points</w:t>
      </w:r>
      <w:r w:rsidR="009D4F25">
        <w:rPr>
          <w:color w:val="000000" w:themeColor="text1"/>
          <w:lang w:val="en-GB" w:bidi="en-GB"/>
        </w:rPr>
        <w:t>)</w:t>
      </w:r>
      <w:r>
        <w:rPr>
          <w:color w:val="000000" w:themeColor="text1"/>
          <w:lang w:val="en-GB" w:bidi="en-GB"/>
        </w:rPr>
        <w:t xml:space="preserve"> </w:t>
      </w:r>
      <w:r>
        <w:rPr>
          <w:lang w:val="en-GB" w:bidi="en-GB"/>
        </w:rPr>
        <w:t xml:space="preserve">For framework agreements and in the event that the implementation of the call-off order entails </w:t>
      </w:r>
      <w:proofErr w:type="gramStart"/>
      <w:r>
        <w:rPr>
          <w:lang w:val="en-GB" w:bidi="en-GB"/>
        </w:rPr>
        <w:t>travel</w:t>
      </w:r>
      <w:proofErr w:type="gramEnd"/>
    </w:p>
    <w:p w14:paraId="01086663" w14:textId="77777777" w:rsidR="002D3B73" w:rsidRDefault="002D3B73" w:rsidP="00C61EF1">
      <w:r>
        <w:rPr>
          <w:lang w:val="en-GB" w:bidi="en-GB"/>
        </w:rPr>
        <w:t>The assessment and scoring of submitted descriptions regarding which measures will be taken to limit the number of trips (especially air travel) while implementing subsequent call-off orders will be carried out in accordance with the section “Evaluation of tenders.”</w:t>
      </w:r>
    </w:p>
    <w:p w14:paraId="3A4C9472" w14:textId="77777777" w:rsidR="002D3B73" w:rsidRDefault="002D3B73" w:rsidP="00C61EF1">
      <w:pPr>
        <w:rPr>
          <w:i/>
          <w:color w:val="FF0000"/>
        </w:rPr>
      </w:pPr>
      <w:r>
        <w:rPr>
          <w:lang w:val="en-GB" w:bidi="en-GB"/>
        </w:rPr>
        <w:t xml:space="preserve">In the assessment, the following will be reviewed: </w:t>
      </w:r>
    </w:p>
    <w:p w14:paraId="26E7A0E6" w14:textId="36B63416" w:rsidR="002D3B73" w:rsidRPr="00C61EF1" w:rsidRDefault="002D3B73" w:rsidP="002D3B73">
      <w:pPr>
        <w:pStyle w:val="ListParagraph"/>
        <w:numPr>
          <w:ilvl w:val="0"/>
          <w:numId w:val="12"/>
        </w:numPr>
        <w:autoSpaceDE w:val="0"/>
        <w:autoSpaceDN w:val="0"/>
        <w:adjustRightInd w:val="0"/>
        <w:rPr>
          <w:rFonts w:asciiTheme="minorHAnsi" w:hAnsiTheme="minorHAnsi" w:cs="Calibri"/>
          <w:color w:val="000000"/>
        </w:rPr>
      </w:pPr>
      <w:r w:rsidRPr="00C61EF1">
        <w:rPr>
          <w:rFonts w:asciiTheme="minorHAnsi" w:eastAsia="Calibri" w:hAnsiTheme="minorHAnsi" w:cs="Calibri"/>
          <w:color w:val="000000"/>
          <w:lang w:val="en-GB" w:bidi="en-GB"/>
        </w:rPr>
        <w:lastRenderedPageBreak/>
        <w:t>Whether reasonable steps are proposed by which to limit the number of trips (especially air travel) while carrying out the assignment</w:t>
      </w:r>
      <w:r w:rsidR="00FB1F40">
        <w:rPr>
          <w:rFonts w:asciiTheme="minorHAnsi" w:eastAsia="Calibri" w:hAnsiTheme="minorHAnsi" w:cs="Calibri"/>
          <w:color w:val="000000"/>
          <w:lang w:val="en-GB" w:bidi="en-GB"/>
        </w:rPr>
        <w:t xml:space="preserve"> (</w:t>
      </w:r>
      <w:r w:rsidR="00755219">
        <w:rPr>
          <w:rFonts w:asciiTheme="minorHAnsi" w:eastAsia="Calibri" w:hAnsiTheme="minorHAnsi" w:cs="Calibri"/>
          <w:color w:val="000000"/>
          <w:lang w:val="en-GB" w:bidi="en-GB"/>
        </w:rPr>
        <w:t>5</w:t>
      </w:r>
      <w:r w:rsidRPr="00C61EF1">
        <w:rPr>
          <w:rFonts w:asciiTheme="minorHAnsi" w:eastAsia="Calibri" w:hAnsiTheme="minorHAnsi" w:cs="Calibri"/>
          <w:color w:val="000000"/>
          <w:lang w:val="en-GB" w:bidi="en-GB"/>
        </w:rPr>
        <w:t xml:space="preserve"> points</w:t>
      </w:r>
      <w:r w:rsidR="00FB1F40">
        <w:rPr>
          <w:rFonts w:asciiTheme="minorHAnsi" w:eastAsia="Calibri" w:hAnsiTheme="minorHAnsi" w:cs="Calibri"/>
          <w:color w:val="000000"/>
          <w:lang w:val="en-GB" w:bidi="en-GB"/>
        </w:rPr>
        <w:t>)</w:t>
      </w:r>
    </w:p>
    <w:p w14:paraId="7B5FA132" w14:textId="77777777" w:rsidR="00A00D10" w:rsidRPr="00C61EF1" w:rsidRDefault="00A00D10" w:rsidP="00A00D10"/>
    <w:p w14:paraId="09FE5CAE" w14:textId="77777777" w:rsidR="002D3B73" w:rsidRDefault="002D3B73" w:rsidP="00A00D10">
      <w:pPr>
        <w:pStyle w:val="Heading1"/>
        <w:keepLines w:val="0"/>
      </w:pPr>
      <w:r>
        <w:rPr>
          <w:rFonts w:eastAsia="Calibri"/>
          <w:lang w:val="en-GB" w:bidi="en-GB"/>
        </w:rPr>
        <w:lastRenderedPageBreak/>
        <w:t xml:space="preserve">6. </w:t>
      </w:r>
      <w:r w:rsidRPr="00A00D10">
        <w:t>Tender</w:t>
      </w:r>
      <w:r>
        <w:rPr>
          <w:rFonts w:eastAsia="Calibri"/>
          <w:lang w:val="en-GB" w:bidi="en-GB"/>
        </w:rPr>
        <w:t xml:space="preserve"> prices</w:t>
      </w:r>
    </w:p>
    <w:p w14:paraId="00E7343E" w14:textId="77777777" w:rsidR="002D3B73" w:rsidRDefault="002D3B73" w:rsidP="008F3D21">
      <w:pPr>
        <w:rPr>
          <w:color w:val="000000"/>
        </w:rPr>
      </w:pPr>
      <w:r>
        <w:rPr>
          <w:color w:val="000000"/>
          <w:lang w:val="en-GB" w:bidi="en-GB"/>
        </w:rPr>
        <w:t xml:space="preserve">Prices, </w:t>
      </w:r>
      <w:proofErr w:type="gramStart"/>
      <w:r>
        <w:rPr>
          <w:color w:val="000000"/>
          <w:lang w:val="en-GB" w:bidi="en-GB"/>
        </w:rPr>
        <w:t>fees</w:t>
      </w:r>
      <w:proofErr w:type="gramEnd"/>
      <w:r>
        <w:rPr>
          <w:color w:val="000000"/>
          <w:lang w:val="en-GB" w:bidi="en-GB"/>
        </w:rPr>
        <w:t xml:space="preserve"> and costs shall be expressed in SEK, excl. VAT, but including any other taxes and charges.</w:t>
      </w:r>
    </w:p>
    <w:p w14:paraId="772232C9" w14:textId="04295F49" w:rsidR="002D3B73" w:rsidRDefault="002D3B73" w:rsidP="00B946A3">
      <w:pPr>
        <w:pStyle w:val="Heading2"/>
        <w:rPr>
          <w:color w:val="000000" w:themeColor="text1"/>
        </w:rPr>
      </w:pPr>
      <w:r>
        <w:rPr>
          <w:color w:val="000000" w:themeColor="text1"/>
          <w:lang w:val="en-GB" w:bidi="en-GB"/>
        </w:rPr>
        <w:t>6.1. Hourly rates</w:t>
      </w:r>
    </w:p>
    <w:p w14:paraId="76034F23" w14:textId="77777777" w:rsidR="002D3B73" w:rsidRDefault="002D3B73" w:rsidP="009478E7">
      <w:r>
        <w:rPr>
          <w:lang w:val="en-GB" w:bidi="en-GB"/>
        </w:rPr>
        <w:t xml:space="preserve">The tenderer shall specify each consultant’s hourly rate below. </w:t>
      </w:r>
    </w:p>
    <w:tbl>
      <w:tblPr>
        <w:tblW w:w="73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01"/>
        <w:gridCol w:w="3686"/>
        <w:gridCol w:w="1984"/>
      </w:tblGrid>
      <w:tr w:rsidR="002D3B73" w:rsidRPr="009478E7" w14:paraId="679D658C" w14:textId="77777777" w:rsidTr="008F3D21">
        <w:trPr>
          <w:trHeight w:val="510"/>
        </w:trPr>
        <w:tc>
          <w:tcPr>
            <w:tcW w:w="1701" w:type="dxa"/>
            <w:tcBorders>
              <w:top w:val="double" w:sz="4" w:space="0" w:color="auto"/>
              <w:left w:val="double" w:sz="4" w:space="0" w:color="auto"/>
              <w:bottom w:val="double" w:sz="4" w:space="0" w:color="auto"/>
              <w:right w:val="double" w:sz="4" w:space="0" w:color="auto"/>
            </w:tcBorders>
          </w:tcPr>
          <w:p w14:paraId="77FFF74F" w14:textId="77777777" w:rsidR="002D3B73" w:rsidRPr="009478E7" w:rsidRDefault="002D3B73" w:rsidP="006A3871">
            <w:pPr>
              <w:rPr>
                <w:rFonts w:asciiTheme="majorHAnsi" w:hAnsiTheme="majorHAnsi" w:cstheme="majorHAnsi"/>
                <w:color w:val="000000"/>
                <w:sz w:val="20"/>
                <w:szCs w:val="20"/>
              </w:rPr>
            </w:pPr>
          </w:p>
        </w:tc>
        <w:tc>
          <w:tcPr>
            <w:tcW w:w="3686" w:type="dxa"/>
            <w:tcBorders>
              <w:top w:val="double" w:sz="4" w:space="0" w:color="auto"/>
              <w:left w:val="double" w:sz="4" w:space="0" w:color="auto"/>
              <w:bottom w:val="double" w:sz="4" w:space="0" w:color="auto"/>
              <w:right w:val="double" w:sz="4" w:space="0" w:color="auto"/>
            </w:tcBorders>
            <w:hideMark/>
          </w:tcPr>
          <w:p w14:paraId="31BF8CCF" w14:textId="47BD0F08" w:rsidR="002D3B73" w:rsidRPr="009478E7" w:rsidRDefault="002D3B73" w:rsidP="006A3871">
            <w:pPr>
              <w:rPr>
                <w:rFonts w:asciiTheme="majorHAnsi" w:hAnsiTheme="majorHAnsi" w:cstheme="majorHAnsi"/>
                <w:color w:val="000000"/>
                <w:sz w:val="20"/>
                <w:szCs w:val="20"/>
              </w:rPr>
            </w:pPr>
          </w:p>
        </w:tc>
        <w:tc>
          <w:tcPr>
            <w:tcW w:w="1984" w:type="dxa"/>
            <w:tcBorders>
              <w:top w:val="double" w:sz="4" w:space="0" w:color="auto"/>
              <w:left w:val="double" w:sz="4" w:space="0" w:color="auto"/>
              <w:bottom w:val="double" w:sz="4" w:space="0" w:color="auto"/>
              <w:right w:val="double" w:sz="4" w:space="0" w:color="auto"/>
            </w:tcBorders>
            <w:hideMark/>
          </w:tcPr>
          <w:p w14:paraId="1C89A576" w14:textId="77777777" w:rsidR="002D3B73" w:rsidRPr="009478E7" w:rsidRDefault="002D3B73" w:rsidP="006A3871">
            <w:pPr>
              <w:rPr>
                <w:rFonts w:asciiTheme="majorHAnsi" w:hAnsiTheme="majorHAnsi" w:cstheme="majorHAnsi"/>
                <w:color w:val="000000"/>
                <w:sz w:val="20"/>
                <w:szCs w:val="20"/>
              </w:rPr>
            </w:pPr>
            <w:r w:rsidRPr="009478E7">
              <w:rPr>
                <w:rFonts w:asciiTheme="majorHAnsi" w:eastAsia="Calibri" w:hAnsiTheme="majorHAnsi" w:cstheme="majorHAnsi"/>
                <w:color w:val="000000"/>
                <w:sz w:val="20"/>
                <w:szCs w:val="20"/>
                <w:lang w:val="en-GB" w:bidi="en-GB"/>
              </w:rPr>
              <w:t>Price/hour</w:t>
            </w:r>
          </w:p>
        </w:tc>
      </w:tr>
      <w:tr w:rsidR="002D3B73" w:rsidRPr="009478E7" w14:paraId="25FA3036" w14:textId="77777777" w:rsidTr="007D55F6">
        <w:trPr>
          <w:trHeight w:val="283"/>
        </w:trPr>
        <w:tc>
          <w:tcPr>
            <w:tcW w:w="1701" w:type="dxa"/>
            <w:tcBorders>
              <w:top w:val="double" w:sz="4" w:space="0" w:color="auto"/>
              <w:left w:val="double" w:sz="4" w:space="0" w:color="auto"/>
              <w:bottom w:val="double" w:sz="4" w:space="0" w:color="auto"/>
              <w:right w:val="double" w:sz="4" w:space="0" w:color="auto"/>
            </w:tcBorders>
            <w:hideMark/>
          </w:tcPr>
          <w:p w14:paraId="1C4DA938" w14:textId="77777777" w:rsidR="002D3B73" w:rsidRPr="009478E7" w:rsidRDefault="002D3B73" w:rsidP="006A3871">
            <w:pPr>
              <w:rPr>
                <w:rFonts w:asciiTheme="majorHAnsi" w:hAnsiTheme="majorHAnsi" w:cstheme="majorHAnsi"/>
                <w:color w:val="000000"/>
                <w:sz w:val="20"/>
                <w:szCs w:val="20"/>
              </w:rPr>
            </w:pPr>
            <w:r w:rsidRPr="009478E7">
              <w:rPr>
                <w:rFonts w:asciiTheme="majorHAnsi" w:eastAsia="Calibri" w:hAnsiTheme="majorHAnsi" w:cstheme="majorHAnsi"/>
                <w:color w:val="000000"/>
                <w:sz w:val="20"/>
                <w:szCs w:val="20"/>
                <w:lang w:val="en-GB" w:bidi="en-GB"/>
              </w:rPr>
              <w:t>Level 1 consultant</w:t>
            </w:r>
          </w:p>
        </w:tc>
        <w:tc>
          <w:tcPr>
            <w:tcW w:w="3686" w:type="dxa"/>
            <w:tcBorders>
              <w:top w:val="double" w:sz="4" w:space="0" w:color="auto"/>
              <w:left w:val="double" w:sz="4" w:space="0" w:color="auto"/>
              <w:bottom w:val="double" w:sz="4" w:space="0" w:color="auto"/>
              <w:right w:val="double" w:sz="4" w:space="0" w:color="auto"/>
            </w:tcBorders>
          </w:tcPr>
          <w:p w14:paraId="6A617865" w14:textId="03FE2423" w:rsidR="002D3B73" w:rsidRPr="009478E7" w:rsidRDefault="002D3B73" w:rsidP="006A3871">
            <w:pPr>
              <w:rPr>
                <w:rFonts w:asciiTheme="majorHAnsi" w:hAnsiTheme="majorHAnsi" w:cstheme="majorHAnsi"/>
                <w:color w:val="000000"/>
                <w:sz w:val="20"/>
                <w:szCs w:val="20"/>
              </w:rPr>
            </w:pPr>
          </w:p>
        </w:tc>
        <w:tc>
          <w:tcPr>
            <w:tcW w:w="1984" w:type="dxa"/>
            <w:tcBorders>
              <w:top w:val="double" w:sz="4" w:space="0" w:color="auto"/>
              <w:left w:val="double" w:sz="4" w:space="0" w:color="auto"/>
              <w:bottom w:val="double" w:sz="4" w:space="0" w:color="auto"/>
              <w:right w:val="double" w:sz="4" w:space="0" w:color="auto"/>
            </w:tcBorders>
            <w:hideMark/>
          </w:tcPr>
          <w:p w14:paraId="3854BD98" w14:textId="77777777" w:rsidR="002D3B73" w:rsidRPr="009478E7" w:rsidRDefault="002D3B73" w:rsidP="006A3871">
            <w:pPr>
              <w:rPr>
                <w:rFonts w:asciiTheme="majorHAnsi" w:hAnsiTheme="majorHAnsi" w:cstheme="majorHAnsi"/>
                <w:color w:val="000000"/>
                <w:sz w:val="20"/>
                <w:szCs w:val="20"/>
              </w:rPr>
            </w:pPr>
            <w:r w:rsidRPr="009478E7">
              <w:rPr>
                <w:rFonts w:asciiTheme="majorHAnsi" w:hAnsiTheme="majorHAnsi" w:cstheme="majorHAnsi"/>
                <w:sz w:val="20"/>
                <w:szCs w:val="20"/>
              </w:rPr>
              <w:fldChar w:fldCharType="begin">
                <w:ffData>
                  <w:name w:val=""/>
                  <w:enabled/>
                  <w:calcOnExit w:val="0"/>
                  <w:textInput/>
                </w:ffData>
              </w:fldChar>
            </w:r>
            <w:r w:rsidRPr="009478E7">
              <w:rPr>
                <w:rFonts w:asciiTheme="majorHAnsi" w:eastAsia="Calibri" w:hAnsiTheme="majorHAnsi" w:cstheme="majorHAnsi"/>
                <w:color w:val="000000"/>
                <w:sz w:val="20"/>
                <w:szCs w:val="20"/>
                <w:lang w:val="en-GB" w:bidi="en-GB"/>
              </w:rPr>
              <w:instrText xml:space="preserve"> FORMTEXT </w:instrText>
            </w:r>
            <w:r w:rsidRPr="009478E7">
              <w:rPr>
                <w:rFonts w:asciiTheme="majorHAnsi" w:hAnsiTheme="majorHAnsi" w:cstheme="majorHAnsi"/>
                <w:sz w:val="20"/>
                <w:szCs w:val="20"/>
              </w:rPr>
            </w:r>
            <w:r w:rsidRPr="009478E7">
              <w:rPr>
                <w:rFonts w:asciiTheme="majorHAnsi" w:hAnsiTheme="majorHAnsi" w:cstheme="majorHAnsi"/>
                <w:sz w:val="20"/>
                <w:szCs w:val="20"/>
              </w:rPr>
              <w:fldChar w:fldCharType="separate"/>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hAnsiTheme="majorHAnsi" w:cstheme="majorHAnsi"/>
                <w:sz w:val="20"/>
                <w:szCs w:val="20"/>
              </w:rPr>
              <w:fldChar w:fldCharType="end"/>
            </w:r>
          </w:p>
        </w:tc>
      </w:tr>
      <w:tr w:rsidR="002D3B73" w:rsidRPr="009478E7" w14:paraId="18148FA5" w14:textId="77777777" w:rsidTr="008F3D21">
        <w:trPr>
          <w:trHeight w:val="283"/>
        </w:trPr>
        <w:tc>
          <w:tcPr>
            <w:tcW w:w="1701" w:type="dxa"/>
            <w:tcBorders>
              <w:top w:val="double" w:sz="4" w:space="0" w:color="auto"/>
              <w:left w:val="double" w:sz="4" w:space="0" w:color="auto"/>
              <w:bottom w:val="double" w:sz="4" w:space="0" w:color="auto"/>
              <w:right w:val="double" w:sz="4" w:space="0" w:color="auto"/>
            </w:tcBorders>
            <w:hideMark/>
          </w:tcPr>
          <w:p w14:paraId="0A183FBE" w14:textId="77777777" w:rsidR="002D3B73" w:rsidRPr="009478E7" w:rsidRDefault="002D3B73" w:rsidP="006A3871">
            <w:pPr>
              <w:rPr>
                <w:rFonts w:asciiTheme="majorHAnsi" w:hAnsiTheme="majorHAnsi" w:cstheme="majorHAnsi"/>
                <w:color w:val="000000"/>
                <w:sz w:val="20"/>
                <w:szCs w:val="20"/>
              </w:rPr>
            </w:pPr>
            <w:r w:rsidRPr="009478E7">
              <w:rPr>
                <w:rFonts w:asciiTheme="majorHAnsi" w:eastAsia="Calibri" w:hAnsiTheme="majorHAnsi" w:cstheme="majorHAnsi"/>
                <w:color w:val="000000"/>
                <w:sz w:val="20"/>
                <w:szCs w:val="20"/>
                <w:lang w:val="en-GB" w:bidi="en-GB"/>
              </w:rPr>
              <w:t>Level 2 consultant</w:t>
            </w:r>
          </w:p>
        </w:tc>
        <w:tc>
          <w:tcPr>
            <w:tcW w:w="3686" w:type="dxa"/>
            <w:tcBorders>
              <w:top w:val="double" w:sz="4" w:space="0" w:color="auto"/>
              <w:left w:val="double" w:sz="4" w:space="0" w:color="auto"/>
              <w:bottom w:val="double" w:sz="4" w:space="0" w:color="auto"/>
              <w:right w:val="double" w:sz="4" w:space="0" w:color="auto"/>
            </w:tcBorders>
            <w:hideMark/>
          </w:tcPr>
          <w:p w14:paraId="5F52115F" w14:textId="371246DF" w:rsidR="002D3B73" w:rsidRPr="009478E7" w:rsidRDefault="002D3B73" w:rsidP="006A3871">
            <w:pPr>
              <w:rPr>
                <w:rFonts w:asciiTheme="majorHAnsi" w:hAnsiTheme="majorHAnsi" w:cstheme="majorHAnsi"/>
                <w:color w:val="000000"/>
                <w:sz w:val="20"/>
                <w:szCs w:val="20"/>
              </w:rPr>
            </w:pPr>
            <w:r w:rsidRPr="009478E7">
              <w:rPr>
                <w:rFonts w:asciiTheme="majorHAnsi" w:hAnsiTheme="majorHAnsi" w:cstheme="majorHAnsi"/>
                <w:sz w:val="20"/>
                <w:szCs w:val="20"/>
              </w:rPr>
              <w:fldChar w:fldCharType="begin">
                <w:ffData>
                  <w:name w:val="Text2"/>
                  <w:enabled/>
                  <w:calcOnExit w:val="0"/>
                  <w:textInput/>
                </w:ffData>
              </w:fldChar>
            </w:r>
            <w:r w:rsidRPr="009478E7">
              <w:rPr>
                <w:rFonts w:asciiTheme="majorHAnsi" w:eastAsia="Calibri" w:hAnsiTheme="majorHAnsi" w:cstheme="majorHAnsi"/>
                <w:color w:val="000000"/>
                <w:sz w:val="20"/>
                <w:szCs w:val="20"/>
                <w:lang w:val="en-GB" w:bidi="en-GB"/>
              </w:rPr>
              <w:instrText xml:space="preserve"> FORMTEXT </w:instrText>
            </w:r>
            <w:r w:rsidR="008B19FC">
              <w:rPr>
                <w:rFonts w:asciiTheme="majorHAnsi" w:hAnsiTheme="majorHAnsi" w:cstheme="majorHAnsi"/>
                <w:sz w:val="20"/>
                <w:szCs w:val="20"/>
              </w:rPr>
            </w:r>
            <w:r w:rsidR="008B19FC">
              <w:rPr>
                <w:rFonts w:asciiTheme="majorHAnsi" w:hAnsiTheme="majorHAnsi" w:cstheme="majorHAnsi"/>
                <w:sz w:val="20"/>
                <w:szCs w:val="20"/>
              </w:rPr>
              <w:fldChar w:fldCharType="separate"/>
            </w:r>
            <w:r w:rsidRPr="009478E7">
              <w:rPr>
                <w:rFonts w:asciiTheme="majorHAnsi" w:hAnsiTheme="majorHAnsi" w:cstheme="majorHAnsi"/>
                <w:sz w:val="20"/>
                <w:szCs w:val="20"/>
              </w:rPr>
              <w:fldChar w:fldCharType="end"/>
            </w:r>
          </w:p>
        </w:tc>
        <w:tc>
          <w:tcPr>
            <w:tcW w:w="1984" w:type="dxa"/>
            <w:tcBorders>
              <w:top w:val="double" w:sz="4" w:space="0" w:color="auto"/>
              <w:left w:val="double" w:sz="4" w:space="0" w:color="auto"/>
              <w:bottom w:val="double" w:sz="4" w:space="0" w:color="auto"/>
              <w:right w:val="double" w:sz="4" w:space="0" w:color="auto"/>
            </w:tcBorders>
            <w:hideMark/>
          </w:tcPr>
          <w:p w14:paraId="6A714FF0" w14:textId="77777777" w:rsidR="002D3B73" w:rsidRPr="009478E7" w:rsidRDefault="002D3B73" w:rsidP="006A3871">
            <w:pPr>
              <w:rPr>
                <w:rFonts w:asciiTheme="majorHAnsi" w:hAnsiTheme="majorHAnsi" w:cstheme="majorHAnsi"/>
                <w:color w:val="000000"/>
                <w:sz w:val="20"/>
                <w:szCs w:val="20"/>
              </w:rPr>
            </w:pPr>
            <w:r w:rsidRPr="009478E7">
              <w:rPr>
                <w:rFonts w:asciiTheme="majorHAnsi" w:hAnsiTheme="majorHAnsi" w:cstheme="majorHAnsi"/>
                <w:sz w:val="20"/>
                <w:szCs w:val="20"/>
              </w:rPr>
              <w:fldChar w:fldCharType="begin">
                <w:ffData>
                  <w:name w:val=""/>
                  <w:enabled/>
                  <w:calcOnExit w:val="0"/>
                  <w:textInput/>
                </w:ffData>
              </w:fldChar>
            </w:r>
            <w:r w:rsidRPr="009478E7">
              <w:rPr>
                <w:rFonts w:asciiTheme="majorHAnsi" w:eastAsia="Calibri" w:hAnsiTheme="majorHAnsi" w:cstheme="majorHAnsi"/>
                <w:color w:val="000000"/>
                <w:sz w:val="20"/>
                <w:szCs w:val="20"/>
                <w:lang w:val="en-GB" w:bidi="en-GB"/>
              </w:rPr>
              <w:instrText xml:space="preserve"> FORMTEXT </w:instrText>
            </w:r>
            <w:r w:rsidRPr="009478E7">
              <w:rPr>
                <w:rFonts w:asciiTheme="majorHAnsi" w:hAnsiTheme="majorHAnsi" w:cstheme="majorHAnsi"/>
                <w:sz w:val="20"/>
                <w:szCs w:val="20"/>
              </w:rPr>
            </w:r>
            <w:r w:rsidRPr="009478E7">
              <w:rPr>
                <w:rFonts w:asciiTheme="majorHAnsi" w:hAnsiTheme="majorHAnsi" w:cstheme="majorHAnsi"/>
                <w:sz w:val="20"/>
                <w:szCs w:val="20"/>
              </w:rPr>
              <w:fldChar w:fldCharType="separate"/>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hAnsiTheme="majorHAnsi" w:cstheme="majorHAnsi"/>
                <w:sz w:val="20"/>
                <w:szCs w:val="20"/>
              </w:rPr>
              <w:fldChar w:fldCharType="end"/>
            </w:r>
          </w:p>
        </w:tc>
      </w:tr>
      <w:tr w:rsidR="002D3B73" w:rsidRPr="009478E7" w14:paraId="39F54F9C" w14:textId="77777777" w:rsidTr="008F3D21">
        <w:trPr>
          <w:trHeight w:val="283"/>
        </w:trPr>
        <w:tc>
          <w:tcPr>
            <w:tcW w:w="1701" w:type="dxa"/>
            <w:tcBorders>
              <w:top w:val="double" w:sz="4" w:space="0" w:color="auto"/>
              <w:left w:val="double" w:sz="4" w:space="0" w:color="auto"/>
              <w:bottom w:val="double" w:sz="4" w:space="0" w:color="auto"/>
              <w:right w:val="double" w:sz="4" w:space="0" w:color="auto"/>
            </w:tcBorders>
            <w:hideMark/>
          </w:tcPr>
          <w:p w14:paraId="67D75E2B" w14:textId="77777777" w:rsidR="002D3B73" w:rsidRPr="009478E7" w:rsidRDefault="002D3B73" w:rsidP="006A3871">
            <w:pPr>
              <w:rPr>
                <w:rFonts w:asciiTheme="majorHAnsi" w:hAnsiTheme="majorHAnsi" w:cstheme="majorHAnsi"/>
                <w:color w:val="000000"/>
                <w:sz w:val="20"/>
                <w:szCs w:val="20"/>
              </w:rPr>
            </w:pPr>
            <w:r w:rsidRPr="009478E7">
              <w:rPr>
                <w:rFonts w:asciiTheme="majorHAnsi" w:eastAsia="Calibri" w:hAnsiTheme="majorHAnsi" w:cstheme="majorHAnsi"/>
                <w:color w:val="000000"/>
                <w:sz w:val="20"/>
                <w:szCs w:val="20"/>
                <w:lang w:val="en-GB" w:bidi="en-GB"/>
              </w:rPr>
              <w:t>Level 3 consultant</w:t>
            </w:r>
          </w:p>
        </w:tc>
        <w:tc>
          <w:tcPr>
            <w:tcW w:w="3686" w:type="dxa"/>
            <w:tcBorders>
              <w:top w:val="double" w:sz="4" w:space="0" w:color="auto"/>
              <w:left w:val="double" w:sz="4" w:space="0" w:color="auto"/>
              <w:bottom w:val="double" w:sz="4" w:space="0" w:color="auto"/>
              <w:right w:val="double" w:sz="4" w:space="0" w:color="auto"/>
            </w:tcBorders>
            <w:hideMark/>
          </w:tcPr>
          <w:p w14:paraId="4C447E6C" w14:textId="600686B5" w:rsidR="002D3B73" w:rsidRPr="009478E7" w:rsidRDefault="002D3B73" w:rsidP="006A3871">
            <w:pPr>
              <w:rPr>
                <w:rFonts w:asciiTheme="majorHAnsi" w:hAnsiTheme="majorHAnsi" w:cstheme="majorHAnsi"/>
                <w:color w:val="000000"/>
                <w:sz w:val="20"/>
                <w:szCs w:val="20"/>
              </w:rPr>
            </w:pPr>
            <w:r w:rsidRPr="009478E7">
              <w:rPr>
                <w:rFonts w:asciiTheme="majorHAnsi" w:hAnsiTheme="majorHAnsi" w:cstheme="majorHAnsi"/>
                <w:sz w:val="20"/>
                <w:szCs w:val="20"/>
              </w:rPr>
              <w:fldChar w:fldCharType="begin">
                <w:ffData>
                  <w:name w:val="Text3"/>
                  <w:enabled/>
                  <w:calcOnExit w:val="0"/>
                  <w:textInput/>
                </w:ffData>
              </w:fldChar>
            </w:r>
            <w:r w:rsidRPr="009478E7">
              <w:rPr>
                <w:rFonts w:asciiTheme="majorHAnsi" w:eastAsia="Calibri" w:hAnsiTheme="majorHAnsi" w:cstheme="majorHAnsi"/>
                <w:color w:val="000000"/>
                <w:sz w:val="20"/>
                <w:szCs w:val="20"/>
                <w:lang w:val="en-GB" w:bidi="en-GB"/>
              </w:rPr>
              <w:instrText xml:space="preserve"> FORMTEXT </w:instrText>
            </w:r>
            <w:r w:rsidR="008B19FC">
              <w:rPr>
                <w:rFonts w:asciiTheme="majorHAnsi" w:hAnsiTheme="majorHAnsi" w:cstheme="majorHAnsi"/>
                <w:sz w:val="20"/>
                <w:szCs w:val="20"/>
              </w:rPr>
            </w:r>
            <w:r w:rsidR="008B19FC">
              <w:rPr>
                <w:rFonts w:asciiTheme="majorHAnsi" w:hAnsiTheme="majorHAnsi" w:cstheme="majorHAnsi"/>
                <w:sz w:val="20"/>
                <w:szCs w:val="20"/>
              </w:rPr>
              <w:fldChar w:fldCharType="separate"/>
            </w:r>
            <w:r w:rsidRPr="009478E7">
              <w:rPr>
                <w:rFonts w:asciiTheme="majorHAnsi" w:hAnsiTheme="majorHAnsi" w:cstheme="majorHAnsi"/>
                <w:sz w:val="20"/>
                <w:szCs w:val="20"/>
              </w:rPr>
              <w:fldChar w:fldCharType="end"/>
            </w:r>
          </w:p>
        </w:tc>
        <w:tc>
          <w:tcPr>
            <w:tcW w:w="1984" w:type="dxa"/>
            <w:tcBorders>
              <w:top w:val="double" w:sz="4" w:space="0" w:color="auto"/>
              <w:left w:val="double" w:sz="4" w:space="0" w:color="auto"/>
              <w:bottom w:val="double" w:sz="4" w:space="0" w:color="auto"/>
              <w:right w:val="double" w:sz="4" w:space="0" w:color="auto"/>
            </w:tcBorders>
            <w:hideMark/>
          </w:tcPr>
          <w:p w14:paraId="7AB2D72A" w14:textId="77777777" w:rsidR="002D3B73" w:rsidRPr="009478E7" w:rsidRDefault="002D3B73" w:rsidP="006A3871">
            <w:pPr>
              <w:rPr>
                <w:rFonts w:asciiTheme="majorHAnsi" w:hAnsiTheme="majorHAnsi" w:cstheme="majorHAnsi"/>
                <w:color w:val="000000"/>
                <w:sz w:val="20"/>
                <w:szCs w:val="20"/>
              </w:rPr>
            </w:pPr>
            <w:r w:rsidRPr="009478E7">
              <w:rPr>
                <w:rFonts w:asciiTheme="majorHAnsi" w:hAnsiTheme="majorHAnsi" w:cstheme="majorHAnsi"/>
                <w:sz w:val="20"/>
                <w:szCs w:val="20"/>
              </w:rPr>
              <w:fldChar w:fldCharType="begin">
                <w:ffData>
                  <w:name w:val=""/>
                  <w:enabled/>
                  <w:calcOnExit w:val="0"/>
                  <w:textInput/>
                </w:ffData>
              </w:fldChar>
            </w:r>
            <w:r w:rsidRPr="009478E7">
              <w:rPr>
                <w:rFonts w:asciiTheme="majorHAnsi" w:eastAsia="Calibri" w:hAnsiTheme="majorHAnsi" w:cstheme="majorHAnsi"/>
                <w:color w:val="000000"/>
                <w:sz w:val="20"/>
                <w:szCs w:val="20"/>
                <w:lang w:val="en-GB" w:bidi="en-GB"/>
              </w:rPr>
              <w:instrText xml:space="preserve"> FORMTEXT </w:instrText>
            </w:r>
            <w:r w:rsidRPr="009478E7">
              <w:rPr>
                <w:rFonts w:asciiTheme="majorHAnsi" w:hAnsiTheme="majorHAnsi" w:cstheme="majorHAnsi"/>
                <w:sz w:val="20"/>
                <w:szCs w:val="20"/>
              </w:rPr>
            </w:r>
            <w:r w:rsidRPr="009478E7">
              <w:rPr>
                <w:rFonts w:asciiTheme="majorHAnsi" w:hAnsiTheme="majorHAnsi" w:cstheme="majorHAnsi"/>
                <w:sz w:val="20"/>
                <w:szCs w:val="20"/>
              </w:rPr>
              <w:fldChar w:fldCharType="separate"/>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eastAsia="Calibri" w:hAnsiTheme="majorHAnsi" w:cstheme="majorHAnsi"/>
                <w:noProof/>
                <w:color w:val="000000"/>
                <w:sz w:val="20"/>
                <w:szCs w:val="20"/>
                <w:lang w:val="en-GB" w:bidi="en-GB"/>
              </w:rPr>
              <w:t> </w:t>
            </w:r>
            <w:r w:rsidRPr="009478E7">
              <w:rPr>
                <w:rFonts w:asciiTheme="majorHAnsi" w:hAnsiTheme="majorHAnsi" w:cstheme="majorHAnsi"/>
                <w:sz w:val="20"/>
                <w:szCs w:val="20"/>
              </w:rPr>
              <w:fldChar w:fldCharType="end"/>
            </w:r>
          </w:p>
        </w:tc>
      </w:tr>
    </w:tbl>
    <w:p w14:paraId="6252B49C" w14:textId="4101CF25" w:rsidR="002D3B73" w:rsidRDefault="002D3B73" w:rsidP="00B946A3">
      <w:pPr>
        <w:spacing w:before="240"/>
      </w:pPr>
      <w:r>
        <w:rPr>
          <w:lang w:val="en-GB" w:bidi="en-GB"/>
        </w:rPr>
        <w:t xml:space="preserve">For evaluation purposes, </w:t>
      </w:r>
      <w:r w:rsidR="00D912F5">
        <w:t xml:space="preserve">the tender price will be price/hour Level 1 consultant + price/hour Level 2 consultant + price/hour Level 3. </w:t>
      </w:r>
      <w:r w:rsidR="00331029">
        <w:t>Please supply for each level.</w:t>
      </w:r>
    </w:p>
    <w:p w14:paraId="226A7086" w14:textId="77777777" w:rsidR="002D3B73" w:rsidRPr="003517F6" w:rsidRDefault="002D3B73" w:rsidP="003517F6">
      <w:pPr>
        <w:pStyle w:val="Heading2"/>
      </w:pPr>
      <w:r w:rsidRPr="003517F6">
        <w:t>6.2. Abnormally low tenders</w:t>
      </w:r>
    </w:p>
    <w:p w14:paraId="686B8078" w14:textId="3F2E350B" w:rsidR="002D3B73" w:rsidRDefault="002D3B73" w:rsidP="003517F6">
      <w:pPr>
        <w:rPr>
          <w:lang w:val="en-GB" w:bidi="en-GB"/>
        </w:rPr>
      </w:pPr>
      <w:r>
        <w:rPr>
          <w:lang w:val="en-GB" w:bidi="en-GB"/>
        </w:rPr>
        <w:t>If a tender appears to be abnormally low, The Embassy is obligated to request that the tenderer explain the low price or cost. If the tenderer has failed to explain the low price or cost in a satisfactory manner, The Embassy will reject the tender.</w:t>
      </w:r>
    </w:p>
    <w:p w14:paraId="6AB5C973" w14:textId="77777777" w:rsidR="008F3D21" w:rsidRDefault="008F3D21" w:rsidP="003517F6"/>
    <w:p w14:paraId="03769AC7" w14:textId="77777777" w:rsidR="002D3B73" w:rsidRPr="003517F6" w:rsidRDefault="002D3B73" w:rsidP="003517F6">
      <w:pPr>
        <w:pStyle w:val="Heading1"/>
      </w:pPr>
      <w:r w:rsidRPr="003517F6">
        <w:lastRenderedPageBreak/>
        <w:t>7. Evaluation of tenders</w:t>
      </w:r>
    </w:p>
    <w:p w14:paraId="79171C1F" w14:textId="77777777" w:rsidR="002D3B73" w:rsidRDefault="002D3B73" w:rsidP="003517F6">
      <w:pPr>
        <w:rPr>
          <w:color w:val="000000"/>
        </w:rPr>
      </w:pPr>
      <w:r>
        <w:rPr>
          <w:color w:val="000000"/>
          <w:lang w:val="en-GB" w:bidi="en-GB"/>
        </w:rPr>
        <w:t>The evaluation of tenders will be carried out on the following basis:</w:t>
      </w:r>
    </w:p>
    <w:p w14:paraId="069EC2EF" w14:textId="16C7AB8E" w:rsidR="002D3B73" w:rsidRDefault="002D3B73" w:rsidP="003517F6">
      <w:pPr>
        <w:rPr>
          <w:color w:val="000000"/>
        </w:rPr>
      </w:pPr>
      <w:r w:rsidRPr="0017071A">
        <w:rPr>
          <w:color w:val="FF0000"/>
          <w:lang w:val="en-GB" w:bidi="en-GB"/>
        </w:rPr>
        <w:br/>
      </w:r>
      <w:r>
        <w:rPr>
          <w:color w:val="000000"/>
          <w:lang w:val="en-GB" w:bidi="en-GB"/>
        </w:rPr>
        <w:t>Best price-quality ratio</w:t>
      </w:r>
    </w:p>
    <w:p w14:paraId="529B7F63" w14:textId="77777777" w:rsidR="002D3B73" w:rsidRDefault="002D3B73" w:rsidP="0017071A">
      <w:pPr>
        <w:pStyle w:val="Heading2"/>
      </w:pPr>
      <w:r>
        <w:rPr>
          <w:lang w:val="en-GB" w:bidi="en-GB"/>
        </w:rPr>
        <w:t>7.1. Evaluation method</w:t>
      </w:r>
    </w:p>
    <w:p w14:paraId="3BB8354C" w14:textId="7D3296EC" w:rsidR="002D3B73" w:rsidRPr="00DF79A6" w:rsidRDefault="002D3B73" w:rsidP="00DF79A6">
      <w:r>
        <w:rPr>
          <w:lang w:val="en-GB" w:bidi="en-GB"/>
        </w:rPr>
        <w:t xml:space="preserve">The evaluation will be conducted </w:t>
      </w:r>
      <w:proofErr w:type="gramStart"/>
      <w:r>
        <w:rPr>
          <w:lang w:val="en-GB" w:bidi="en-GB"/>
        </w:rPr>
        <w:t>on the basis of</w:t>
      </w:r>
      <w:proofErr w:type="gramEnd"/>
      <w:r>
        <w:rPr>
          <w:lang w:val="en-GB" w:bidi="en-GB"/>
        </w:rPr>
        <w:t xml:space="preserve"> the below award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5"/>
        <w:gridCol w:w="1456"/>
      </w:tblGrid>
      <w:tr w:rsidR="002D3B73" w:rsidRPr="00BF07BA" w14:paraId="1B083399" w14:textId="77777777" w:rsidTr="00BF07BA">
        <w:tc>
          <w:tcPr>
            <w:tcW w:w="5615" w:type="dxa"/>
            <w:tcBorders>
              <w:top w:val="single" w:sz="4" w:space="0" w:color="auto"/>
              <w:left w:val="single" w:sz="4" w:space="0" w:color="auto"/>
              <w:bottom w:val="single" w:sz="4" w:space="0" w:color="auto"/>
              <w:right w:val="single" w:sz="4" w:space="0" w:color="auto"/>
            </w:tcBorders>
            <w:shd w:val="clear" w:color="auto" w:fill="E6E6E6"/>
            <w:hideMark/>
          </w:tcPr>
          <w:tbl>
            <w:tblPr>
              <w:tblW w:w="5399" w:type="dxa"/>
              <w:tblLook w:val="01E0" w:firstRow="1" w:lastRow="1" w:firstColumn="1" w:lastColumn="1" w:noHBand="0" w:noVBand="0"/>
            </w:tblPr>
            <w:tblGrid>
              <w:gridCol w:w="4690"/>
              <w:gridCol w:w="709"/>
            </w:tblGrid>
            <w:tr w:rsidR="002D3B73" w:rsidRPr="00BF07BA" w14:paraId="54BBE371" w14:textId="77777777" w:rsidTr="006A3871">
              <w:trPr>
                <w:trHeight w:val="87"/>
              </w:trPr>
              <w:tc>
                <w:tcPr>
                  <w:tcW w:w="4690" w:type="dxa"/>
                  <w:hideMark/>
                </w:tcPr>
                <w:p w14:paraId="7B0A4472"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Award criteria</w:t>
                  </w:r>
                </w:p>
              </w:tc>
              <w:tc>
                <w:tcPr>
                  <w:tcW w:w="709" w:type="dxa"/>
                </w:tcPr>
                <w:p w14:paraId="53F0B77C" w14:textId="77777777" w:rsidR="002D3B73" w:rsidRPr="00BF07BA" w:rsidRDefault="002D3B73" w:rsidP="006A3871">
                  <w:pPr>
                    <w:pStyle w:val="Bread"/>
                    <w:spacing w:after="0"/>
                    <w:rPr>
                      <w:rFonts w:asciiTheme="majorHAnsi" w:hAnsiTheme="majorHAnsi" w:cstheme="majorHAnsi"/>
                      <w:sz w:val="20"/>
                      <w:lang w:eastAsia="en-US"/>
                    </w:rPr>
                  </w:pPr>
                </w:p>
              </w:tc>
            </w:tr>
          </w:tbl>
          <w:p w14:paraId="47114642" w14:textId="77777777" w:rsidR="002D3B73" w:rsidRPr="00BF07BA" w:rsidRDefault="002D3B73" w:rsidP="006A3871">
            <w:pPr>
              <w:pStyle w:val="Bread"/>
              <w:spacing w:after="0"/>
              <w:rPr>
                <w:rFonts w:asciiTheme="majorHAnsi" w:hAnsiTheme="majorHAnsi" w:cstheme="majorHAnsi"/>
                <w:sz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7CC13481"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Maximum score</w:t>
            </w:r>
          </w:p>
        </w:tc>
      </w:tr>
      <w:tr w:rsidR="002D3B73" w:rsidRPr="0093015D" w14:paraId="2982CCCF" w14:textId="77777777" w:rsidTr="00BF07BA">
        <w:tc>
          <w:tcPr>
            <w:tcW w:w="5615" w:type="dxa"/>
            <w:tcBorders>
              <w:top w:val="single" w:sz="4" w:space="0" w:color="auto"/>
              <w:left w:val="single" w:sz="4" w:space="0" w:color="auto"/>
              <w:bottom w:val="single" w:sz="4" w:space="0" w:color="auto"/>
              <w:right w:val="single" w:sz="4" w:space="0" w:color="auto"/>
            </w:tcBorders>
            <w:hideMark/>
          </w:tcPr>
          <w:tbl>
            <w:tblPr>
              <w:tblW w:w="5399" w:type="dxa"/>
              <w:tblLook w:val="01E0" w:firstRow="1" w:lastRow="1" w:firstColumn="1" w:lastColumn="1" w:noHBand="0" w:noVBand="0"/>
            </w:tblPr>
            <w:tblGrid>
              <w:gridCol w:w="5399"/>
            </w:tblGrid>
            <w:tr w:rsidR="002D3B73" w:rsidRPr="00BF07BA" w14:paraId="6B6A4BDF" w14:textId="77777777" w:rsidTr="006A3871">
              <w:trPr>
                <w:trHeight w:val="1340"/>
              </w:trPr>
              <w:tc>
                <w:tcPr>
                  <w:tcW w:w="5399" w:type="dxa"/>
                </w:tcPr>
                <w:p w14:paraId="24B03C71" w14:textId="77777777" w:rsidR="002D3B73" w:rsidRPr="00BF07BA" w:rsidRDefault="002D3B73" w:rsidP="006A3871">
                  <w:pPr>
                    <w:pStyle w:val="VRBrdUtanIndrag"/>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Organisation of call-off orders</w:t>
                  </w:r>
                </w:p>
                <w:p w14:paraId="180B75F2" w14:textId="2DC7A24E" w:rsidR="002D3B73" w:rsidRPr="00BF07BA" w:rsidRDefault="002D3B73" w:rsidP="006A3871">
                  <w:pPr>
                    <w:pStyle w:val="VRBrdUtanIndrag"/>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Quality assurance</w:t>
                  </w:r>
                  <w:r w:rsidR="00F36748" w:rsidRPr="00BF07BA">
                    <w:rPr>
                      <w:rFonts w:asciiTheme="majorHAnsi" w:eastAsiaTheme="minorHAnsi" w:hAnsiTheme="majorHAnsi" w:cstheme="majorHAnsi"/>
                      <w:color w:val="000000"/>
                      <w:sz w:val="20"/>
                      <w:szCs w:val="20"/>
                      <w:lang w:val="en-GB" w:eastAsia="en-US" w:bidi="en-GB"/>
                    </w:rPr>
                    <w:t xml:space="preserve"> routines</w:t>
                  </w:r>
                </w:p>
                <w:p w14:paraId="5EAA509E" w14:textId="77777777" w:rsidR="00F36748" w:rsidRPr="00BF07BA" w:rsidRDefault="00F36748" w:rsidP="00F36748">
                  <w:pPr>
                    <w:pStyle w:val="VRBrdUtanIndrag"/>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Merits</w:t>
                  </w:r>
                </w:p>
                <w:p w14:paraId="7087E04F"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Measures to limit travel</w:t>
                  </w:r>
                </w:p>
                <w:p w14:paraId="27B52572"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p>
              </w:tc>
            </w:tr>
          </w:tbl>
          <w:p w14:paraId="67ED9276"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hideMark/>
          </w:tcPr>
          <w:p w14:paraId="20189ACD" w14:textId="548F1378" w:rsidR="002D3B73" w:rsidRPr="00BF07BA" w:rsidRDefault="00502A4A" w:rsidP="006A3871">
            <w:pPr>
              <w:pStyle w:val="VRBrdUtanIndrag"/>
              <w:rPr>
                <w:rFonts w:asciiTheme="majorHAnsi" w:eastAsiaTheme="minorHAnsi" w:hAnsiTheme="majorHAnsi" w:cstheme="majorHAnsi"/>
                <w:color w:val="000000"/>
                <w:sz w:val="20"/>
                <w:szCs w:val="20"/>
                <w:lang w:val="fr-FR" w:eastAsia="en-US"/>
              </w:rPr>
            </w:pPr>
            <w:r>
              <w:rPr>
                <w:rFonts w:asciiTheme="majorHAnsi" w:eastAsiaTheme="minorHAnsi" w:hAnsiTheme="majorHAnsi" w:cstheme="majorHAnsi"/>
                <w:color w:val="000000"/>
                <w:sz w:val="20"/>
                <w:szCs w:val="20"/>
                <w:lang w:val="fr-FR" w:eastAsia="en-US"/>
              </w:rPr>
              <w:t>20</w:t>
            </w:r>
          </w:p>
          <w:p w14:paraId="6AF76D75" w14:textId="2F7DA42F" w:rsidR="002D3B73" w:rsidRPr="00BF07BA" w:rsidRDefault="00502A4A" w:rsidP="006A3871">
            <w:pPr>
              <w:pStyle w:val="VRBrdUtanIndrag"/>
              <w:rPr>
                <w:rFonts w:asciiTheme="majorHAnsi" w:eastAsiaTheme="minorHAnsi" w:hAnsiTheme="majorHAnsi" w:cstheme="majorHAnsi"/>
                <w:color w:val="000000"/>
                <w:sz w:val="20"/>
                <w:szCs w:val="20"/>
                <w:lang w:val="fr-FR" w:eastAsia="en-US"/>
              </w:rPr>
            </w:pPr>
            <w:r>
              <w:rPr>
                <w:rFonts w:asciiTheme="majorHAnsi" w:eastAsiaTheme="minorHAnsi" w:hAnsiTheme="majorHAnsi" w:cstheme="majorHAnsi"/>
                <w:color w:val="000000"/>
                <w:sz w:val="20"/>
                <w:szCs w:val="20"/>
                <w:lang w:val="fr-FR" w:eastAsia="en-US"/>
              </w:rPr>
              <w:t>20</w:t>
            </w:r>
          </w:p>
          <w:p w14:paraId="312F0A2E" w14:textId="71BDB8AA" w:rsidR="002D3B73" w:rsidRPr="00BF07BA" w:rsidRDefault="00502A4A" w:rsidP="006A3871">
            <w:pPr>
              <w:pStyle w:val="VRBrdUtanIndrag"/>
              <w:rPr>
                <w:rFonts w:asciiTheme="majorHAnsi" w:eastAsiaTheme="minorHAnsi" w:hAnsiTheme="majorHAnsi" w:cstheme="majorHAnsi"/>
                <w:color w:val="000000"/>
                <w:sz w:val="20"/>
                <w:szCs w:val="20"/>
                <w:lang w:val="fr-FR" w:eastAsia="en-US"/>
              </w:rPr>
            </w:pPr>
            <w:r>
              <w:rPr>
                <w:rFonts w:asciiTheme="majorHAnsi" w:eastAsiaTheme="minorHAnsi" w:hAnsiTheme="majorHAnsi" w:cstheme="majorHAnsi"/>
                <w:color w:val="000000"/>
                <w:sz w:val="20"/>
                <w:szCs w:val="20"/>
                <w:lang w:val="fr-FR" w:eastAsia="en-US"/>
              </w:rPr>
              <w:t>55</w:t>
            </w:r>
          </w:p>
          <w:p w14:paraId="74A6571B" w14:textId="07B7ECF4" w:rsidR="002D3B73" w:rsidRPr="00BF07BA" w:rsidRDefault="00502A4A" w:rsidP="006A3871">
            <w:pPr>
              <w:pStyle w:val="VRBrdUtanIndrag"/>
              <w:rPr>
                <w:rFonts w:asciiTheme="majorHAnsi" w:eastAsiaTheme="minorHAnsi" w:hAnsiTheme="majorHAnsi" w:cstheme="majorHAnsi"/>
                <w:color w:val="000000"/>
                <w:sz w:val="20"/>
                <w:szCs w:val="20"/>
                <w:lang w:val="fr-FR" w:eastAsia="en-US"/>
              </w:rPr>
            </w:pPr>
            <w:r>
              <w:rPr>
                <w:rFonts w:asciiTheme="majorHAnsi" w:eastAsiaTheme="minorHAnsi" w:hAnsiTheme="majorHAnsi" w:cstheme="majorHAnsi"/>
                <w:color w:val="000000"/>
                <w:sz w:val="20"/>
                <w:szCs w:val="20"/>
                <w:lang w:val="fr-FR" w:eastAsia="en-US"/>
              </w:rPr>
              <w:t>05</w:t>
            </w:r>
          </w:p>
          <w:p w14:paraId="2C68A331" w14:textId="53B5363E" w:rsidR="002D3B73" w:rsidRPr="00956846" w:rsidRDefault="002D3B73" w:rsidP="006A3871">
            <w:pPr>
              <w:pStyle w:val="VRBrdUtanIndrag"/>
              <w:rPr>
                <w:rFonts w:asciiTheme="majorHAnsi" w:eastAsiaTheme="minorHAnsi" w:hAnsiTheme="majorHAnsi" w:cstheme="majorHAnsi"/>
                <w:color w:val="000000"/>
                <w:sz w:val="20"/>
                <w:szCs w:val="20"/>
                <w:lang w:val="fr-FR" w:eastAsia="en-US"/>
              </w:rPr>
            </w:pPr>
          </w:p>
          <w:p w14:paraId="4549565B" w14:textId="77777777" w:rsidR="002D3B73" w:rsidRPr="00956846" w:rsidRDefault="002D3B73" w:rsidP="006A3871">
            <w:pPr>
              <w:pStyle w:val="VRBrdIndrag"/>
              <w:rPr>
                <w:rFonts w:asciiTheme="majorHAnsi" w:eastAsiaTheme="minorHAnsi" w:hAnsiTheme="majorHAnsi" w:cstheme="majorHAnsi"/>
                <w:sz w:val="20"/>
                <w:szCs w:val="20"/>
                <w:lang w:val="fr-FR" w:eastAsia="en-US"/>
              </w:rPr>
            </w:pPr>
            <w:r w:rsidRPr="00956846">
              <w:rPr>
                <w:rFonts w:asciiTheme="majorHAnsi" w:eastAsiaTheme="minorHAnsi" w:hAnsiTheme="majorHAnsi" w:cstheme="majorHAnsi"/>
                <w:sz w:val="20"/>
                <w:szCs w:val="20"/>
                <w:lang w:val="fr-FR" w:eastAsia="en-US" w:bidi="en-GB"/>
              </w:rPr>
              <w:t xml:space="preserve"> </w:t>
            </w:r>
          </w:p>
        </w:tc>
      </w:tr>
      <w:tr w:rsidR="002D3B73" w:rsidRPr="00BF07BA" w14:paraId="2F8F728E" w14:textId="77777777" w:rsidTr="00BF07BA">
        <w:tc>
          <w:tcPr>
            <w:tcW w:w="5615" w:type="dxa"/>
            <w:tcBorders>
              <w:top w:val="single" w:sz="4" w:space="0" w:color="auto"/>
              <w:left w:val="single" w:sz="4" w:space="0" w:color="auto"/>
              <w:bottom w:val="single" w:sz="4" w:space="0" w:color="auto"/>
              <w:right w:val="single" w:sz="4" w:space="0" w:color="auto"/>
            </w:tcBorders>
            <w:shd w:val="clear" w:color="auto" w:fill="E6E6E6"/>
            <w:hideMark/>
          </w:tcPr>
          <w:p w14:paraId="19F7DC52"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Total points</w:t>
            </w: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54CBF554"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100</w:t>
            </w:r>
          </w:p>
        </w:tc>
      </w:tr>
    </w:tbl>
    <w:p w14:paraId="52705A93" w14:textId="77777777" w:rsidR="002D3B73" w:rsidRDefault="002D3B73" w:rsidP="00BF07BA">
      <w:pPr>
        <w:spacing w:before="240"/>
      </w:pPr>
      <w:r>
        <w:rPr>
          <w:lang w:val="en-GB" w:bidi="en-GB"/>
        </w:rPr>
        <w:t>The assessment and scoring of the award criteria will be carried out according to the following scoring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276"/>
      </w:tblGrid>
      <w:tr w:rsidR="002D3B73" w:rsidRPr="00BF07BA" w14:paraId="2E591872" w14:textId="77777777" w:rsidTr="00FF3944">
        <w:trPr>
          <w:cantSplit/>
        </w:trPr>
        <w:tc>
          <w:tcPr>
            <w:tcW w:w="4536" w:type="dxa"/>
            <w:tcBorders>
              <w:top w:val="single" w:sz="4" w:space="0" w:color="auto"/>
              <w:left w:val="single" w:sz="4" w:space="0" w:color="auto"/>
              <w:bottom w:val="single" w:sz="4" w:space="0" w:color="auto"/>
              <w:right w:val="single" w:sz="4" w:space="0" w:color="auto"/>
            </w:tcBorders>
          </w:tcPr>
          <w:p w14:paraId="3B4F8D9F"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 xml:space="preserve">The score for each criterion generates a weighted score. For example, a criterion score of 20 points that is deemed to be “Good” is assigned 0.8 x 20 = 16 points. </w:t>
            </w:r>
          </w:p>
          <w:p w14:paraId="75F8ECE4" w14:textId="77777777" w:rsidR="002D3B73" w:rsidRPr="00BF07BA" w:rsidRDefault="002D3B73" w:rsidP="006A3871">
            <w:pPr>
              <w:pStyle w:val="VRBrdUtanIndrag"/>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(In the evaluation, the levels (in %) will be fixed. This means that no intermediate levels will be used.)</w:t>
            </w:r>
          </w:p>
          <w:p w14:paraId="69A4E8C0" w14:textId="77777777" w:rsidR="002D3B73" w:rsidRPr="00BF07BA" w:rsidRDefault="002D3B73" w:rsidP="006A3871">
            <w:pPr>
              <w:pStyle w:val="Bread"/>
              <w:spacing w:after="0"/>
              <w:rPr>
                <w:rFonts w:asciiTheme="majorHAnsi" w:hAnsiTheme="majorHAnsi" w:cstheme="majorHAnsi"/>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6820CC0"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Rejected</w:t>
            </w:r>
          </w:p>
          <w:p w14:paraId="76301D61"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Inadequate</w:t>
            </w:r>
          </w:p>
          <w:p w14:paraId="2EE4075A"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Acceptable</w:t>
            </w:r>
          </w:p>
          <w:p w14:paraId="7CFADDEF" w14:textId="77777777" w:rsidR="002D3B73" w:rsidRPr="00BF07BA" w:rsidRDefault="002D3B73" w:rsidP="006A3871">
            <w:pPr>
              <w:pStyle w:val="Bread"/>
              <w:spacing w:after="0"/>
              <w:rPr>
                <w:rFonts w:asciiTheme="majorHAnsi" w:eastAsiaTheme="minorHAnsi" w:hAnsiTheme="majorHAnsi" w:cstheme="majorHAnsi"/>
                <w:color w:val="000000"/>
                <w:sz w:val="20"/>
                <w:lang w:eastAsia="en-US"/>
              </w:rPr>
            </w:pPr>
            <w:r w:rsidRPr="00BF07BA">
              <w:rPr>
                <w:rFonts w:asciiTheme="majorHAnsi" w:eastAsiaTheme="minorHAnsi" w:hAnsiTheme="majorHAnsi" w:cstheme="majorHAnsi"/>
                <w:color w:val="000000"/>
                <w:sz w:val="20"/>
                <w:lang w:val="en-GB" w:eastAsia="en-US" w:bidi="en-GB"/>
              </w:rPr>
              <w:t>Good</w:t>
            </w:r>
          </w:p>
          <w:p w14:paraId="3F211CA6"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Very good</w:t>
            </w:r>
          </w:p>
        </w:tc>
        <w:tc>
          <w:tcPr>
            <w:tcW w:w="1276" w:type="dxa"/>
            <w:tcBorders>
              <w:top w:val="single" w:sz="4" w:space="0" w:color="auto"/>
              <w:left w:val="single" w:sz="4" w:space="0" w:color="auto"/>
              <w:bottom w:val="single" w:sz="4" w:space="0" w:color="auto"/>
              <w:right w:val="single" w:sz="4" w:space="0" w:color="auto"/>
            </w:tcBorders>
            <w:hideMark/>
          </w:tcPr>
          <w:p w14:paraId="7454EBD6"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0 %</w:t>
            </w:r>
          </w:p>
          <w:p w14:paraId="78E86148"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40 %</w:t>
            </w:r>
          </w:p>
          <w:p w14:paraId="05E900C5"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60 %</w:t>
            </w:r>
          </w:p>
          <w:p w14:paraId="56CF318C"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80 %</w:t>
            </w:r>
          </w:p>
          <w:p w14:paraId="65ACB999"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100 %</w:t>
            </w:r>
          </w:p>
        </w:tc>
      </w:tr>
    </w:tbl>
    <w:p w14:paraId="77812CC7" w14:textId="4C8DA73B" w:rsidR="002D3B73" w:rsidRDefault="002D3B73" w:rsidP="00FF3944">
      <w:pPr>
        <w:spacing w:before="240"/>
      </w:pPr>
      <w:r>
        <w:rPr>
          <w:lang w:val="en-GB" w:bidi="en-GB"/>
        </w:rPr>
        <w:t xml:space="preserve">The tender must receive at least </w:t>
      </w:r>
      <w:r w:rsidR="009819A2">
        <w:rPr>
          <w:lang w:val="en-GB" w:bidi="en-GB"/>
        </w:rPr>
        <w:t xml:space="preserve">70 </w:t>
      </w:r>
      <w:r>
        <w:rPr>
          <w:lang w:val="en-GB" w:bidi="en-GB"/>
        </w:rPr>
        <w:t>points to be eligible for further evaluation.</w:t>
      </w:r>
    </w:p>
    <w:p w14:paraId="319FB58C" w14:textId="71555557" w:rsidR="002D3B73" w:rsidRDefault="002D3B73" w:rsidP="00FF3944">
      <w:r>
        <w:rPr>
          <w:lang w:val="en-GB" w:bidi="en-GB"/>
        </w:rPr>
        <w:t xml:space="preserve">Definition of the scoring scale: </w:t>
      </w:r>
    </w:p>
    <w:p w14:paraId="57047B06" w14:textId="3CCCFA59" w:rsidR="002D3B73" w:rsidRDefault="002D3B73" w:rsidP="000134F3">
      <w:pPr>
        <w:spacing w:after="60"/>
        <w:rPr>
          <w:lang w:val="en-GB"/>
        </w:rPr>
      </w:pPr>
      <w:r>
        <w:rPr>
          <w:lang w:val="en-GB" w:bidi="en-GB"/>
        </w:rPr>
        <w:t>Rejected = The description or equivalent element is missing or has major shortcomings.</w:t>
      </w:r>
    </w:p>
    <w:p w14:paraId="61F073BD" w14:textId="5C96BD79" w:rsidR="002D3B73" w:rsidRDefault="002D3B73" w:rsidP="000134F3">
      <w:pPr>
        <w:spacing w:after="60"/>
        <w:rPr>
          <w:lang w:val="en-GB"/>
        </w:rPr>
      </w:pPr>
      <w:r w:rsidRPr="0097703C">
        <w:rPr>
          <w:lang w:val="en-GB" w:bidi="en-GB"/>
        </w:rPr>
        <w:t>Inadequate</w:t>
      </w:r>
      <w:r>
        <w:rPr>
          <w:lang w:val="en-GB" w:bidi="en-GB"/>
        </w:rPr>
        <w:t xml:space="preserve"> = The description or equivalent element is included but has certain shortcomings.</w:t>
      </w:r>
    </w:p>
    <w:p w14:paraId="6094FC57" w14:textId="2D6C3237" w:rsidR="002D3B73" w:rsidRDefault="002D3B73" w:rsidP="000134F3">
      <w:pPr>
        <w:spacing w:after="60"/>
        <w:rPr>
          <w:lang w:val="en-GB"/>
        </w:rPr>
      </w:pPr>
      <w:r>
        <w:rPr>
          <w:lang w:val="en-GB" w:bidi="en-GB"/>
        </w:rPr>
        <w:t xml:space="preserve">Acceptable = The description or equivalent element is sufficiently </w:t>
      </w:r>
      <w:r w:rsidR="00F36748">
        <w:rPr>
          <w:lang w:val="en-GB" w:bidi="en-GB"/>
        </w:rPr>
        <w:t>good but</w:t>
      </w:r>
      <w:r>
        <w:rPr>
          <w:lang w:val="en-GB" w:bidi="en-GB"/>
        </w:rPr>
        <w:t xml:space="preserve"> lacks substantial benefits or is of uneven quality.</w:t>
      </w:r>
    </w:p>
    <w:p w14:paraId="4EA177E9" w14:textId="208B097C" w:rsidR="002D3B73" w:rsidRDefault="002D3B73" w:rsidP="000134F3">
      <w:pPr>
        <w:spacing w:after="60"/>
        <w:rPr>
          <w:lang w:val="en-GB"/>
        </w:rPr>
      </w:pPr>
      <w:r>
        <w:rPr>
          <w:lang w:val="en-GB" w:bidi="en-GB"/>
        </w:rPr>
        <w:t>Good = The description or equivalent element is adequate and well suited for the purpose.</w:t>
      </w:r>
    </w:p>
    <w:p w14:paraId="23820B79" w14:textId="1814C25E" w:rsidR="002D3B73" w:rsidRDefault="002D3B73" w:rsidP="00FF3944">
      <w:r>
        <w:rPr>
          <w:lang w:val="en-GB" w:bidi="en-GB"/>
        </w:rPr>
        <w:t xml:space="preserve">Very good = The description or equivalent element provides </w:t>
      </w:r>
      <w:r w:rsidR="009550C6">
        <w:rPr>
          <w:lang w:val="en-GB" w:bidi="en-GB"/>
        </w:rPr>
        <w:t xml:space="preserve">added </w:t>
      </w:r>
      <w:r>
        <w:rPr>
          <w:lang w:val="en-GB" w:bidi="en-GB"/>
        </w:rPr>
        <w:t>value and is of high quality overall.</w:t>
      </w:r>
    </w:p>
    <w:p w14:paraId="4EFEF507" w14:textId="77777777" w:rsidR="002D3B73" w:rsidRDefault="002D3B73" w:rsidP="000134F3">
      <w:r>
        <w:rPr>
          <w:lang w:val="en-GB" w:bidi="en-GB"/>
        </w:rPr>
        <w:t>The quality score is used to reward provided quality by awarding tenders a percentage mark-up on the price, wherein the mark-up is a function of how much lower the quality of the tender is judged to be in relation to the maximum quality. This method makes it possible to determine a comparative value for each tender. The winning tender is the one with the lowest comparative figure.</w:t>
      </w:r>
    </w:p>
    <w:p w14:paraId="260ADFBE" w14:textId="77777777" w:rsidR="002D3B73" w:rsidRDefault="002D3B73" w:rsidP="000134F3">
      <w:pPr>
        <w:pStyle w:val="Heading4"/>
      </w:pPr>
      <w:r>
        <w:rPr>
          <w:rFonts w:eastAsia="Calibri"/>
          <w:lang w:val="en-GB" w:bidi="en-GB"/>
        </w:rPr>
        <w:lastRenderedPageBreak/>
        <w:t>The following formula is used:</w:t>
      </w:r>
    </w:p>
    <w:p w14:paraId="0A363978" w14:textId="2010E68A" w:rsidR="002D3B73" w:rsidRDefault="002D3B73" w:rsidP="000134F3">
      <w:r>
        <w:rPr>
          <w:lang w:val="en-GB" w:bidi="en-GB"/>
        </w:rPr>
        <w:t xml:space="preserve">Comparison value = Tendered price x (1 + Percentage surcharge). </w:t>
      </w:r>
    </w:p>
    <w:p w14:paraId="5D4761F8" w14:textId="77777777" w:rsidR="002D3B73" w:rsidRDefault="002D3B73" w:rsidP="000134F3">
      <w:pPr>
        <w:rPr>
          <w:lang w:val="en-GB" w:bidi="en-GB"/>
        </w:rPr>
      </w:pPr>
      <w:r>
        <w:rPr>
          <w:lang w:val="en-GB" w:bidi="en-GB"/>
        </w:rPr>
        <w:t xml:space="preserve">Percentage surcharge = [(maximum quality score – quality score assigned)/maximum quality score] x upward adjustment factor; </w:t>
      </w:r>
    </w:p>
    <w:p w14:paraId="16865BD6" w14:textId="207A6FAD" w:rsidR="002D3B73" w:rsidRPr="00331029" w:rsidRDefault="002D3B73" w:rsidP="000134F3">
      <w:pPr>
        <w:rPr>
          <w:b/>
          <w:bCs/>
          <w:lang w:val="en-GB" w:bidi="en-GB"/>
        </w:rPr>
      </w:pPr>
      <w:r>
        <w:rPr>
          <w:lang w:val="en-GB" w:bidi="en-GB"/>
        </w:rPr>
        <w:t xml:space="preserve">The upward adjustment factor reflects the effect the quality offered should have when added to the price in an evaluation. The higher the upward adjustment factor is, the greater the importance accorded to qualitative criteria in relation to the price. </w:t>
      </w:r>
      <w:r w:rsidRPr="00331029">
        <w:rPr>
          <w:b/>
          <w:bCs/>
          <w:lang w:val="en-GB" w:bidi="en-GB"/>
        </w:rPr>
        <w:t xml:space="preserve">For this procurement, the weighting factor is set at </w:t>
      </w:r>
      <w:r w:rsidR="00B0176F" w:rsidRPr="00331029">
        <w:rPr>
          <w:b/>
          <w:bCs/>
          <w:lang w:val="en-GB" w:bidi="en-GB"/>
        </w:rPr>
        <w:t>3.0</w:t>
      </w:r>
      <w:r w:rsidRPr="00331029">
        <w:rPr>
          <w:b/>
          <w:bCs/>
          <w:lang w:val="en-GB" w:bidi="en-GB"/>
        </w:rPr>
        <w:t>.</w:t>
      </w:r>
    </w:p>
    <w:p w14:paraId="653D7A46" w14:textId="77777777" w:rsidR="002D3B73" w:rsidRDefault="002D3B73" w:rsidP="000134F3">
      <w:pPr>
        <w:pStyle w:val="Heading4"/>
      </w:pPr>
      <w:r>
        <w:rPr>
          <w:rFonts w:eastAsia="Calibri"/>
          <w:lang w:val="en-GB" w:bidi="en-GB"/>
        </w:rPr>
        <w:t>Evaluation example:</w:t>
      </w:r>
    </w:p>
    <w:p w14:paraId="0288B111" w14:textId="1B98844F" w:rsidR="002D3B73" w:rsidRDefault="002D3B73" w:rsidP="000134F3">
      <w:r>
        <w:rPr>
          <w:lang w:val="en-GB" w:bidi="en-GB"/>
        </w:rPr>
        <w:t>The upward adjustment</w:t>
      </w:r>
      <w:r>
        <w:rPr>
          <w:rFonts w:ascii="Segoe UI" w:hAnsi="Segoe UI" w:cs="Segoe UI"/>
          <w:lang w:val="en-GB"/>
        </w:rPr>
        <w:t xml:space="preserve"> </w:t>
      </w:r>
      <w:r>
        <w:rPr>
          <w:lang w:val="en-GB" w:bidi="en-GB"/>
        </w:rPr>
        <w:t xml:space="preserve">factor is set at </w:t>
      </w:r>
      <w:r w:rsidR="00B0176F">
        <w:rPr>
          <w:lang w:val="en-GB" w:bidi="en-GB"/>
        </w:rPr>
        <w:t>2.5</w:t>
      </w:r>
      <w:r>
        <w:rPr>
          <w:lang w:val="en-GB" w:bidi="en-GB"/>
        </w:rPr>
        <w:t>.</w:t>
      </w:r>
    </w:p>
    <w:p w14:paraId="50FD804A" w14:textId="77777777" w:rsidR="002D3B73" w:rsidRDefault="002D3B73" w:rsidP="000134F3">
      <w:r>
        <w:rPr>
          <w:lang w:val="en-GB" w:bidi="en-GB"/>
        </w:rPr>
        <w:t>Tender A: Price of 480,000 SEK; the total quality score obtained is 90 out of 100 points.</w:t>
      </w:r>
    </w:p>
    <w:p w14:paraId="282F69AF" w14:textId="77777777" w:rsidR="002D3B73" w:rsidRDefault="002D3B73" w:rsidP="000134F3">
      <w:r>
        <w:rPr>
          <w:lang w:val="en-GB" w:bidi="en-GB"/>
        </w:rPr>
        <w:t>Tender B: Price of 400,000 SEK; the total quality score obtained is 75 out of 100 points.</w:t>
      </w:r>
    </w:p>
    <w:p w14:paraId="25EB39B4" w14:textId="77777777" w:rsidR="002D3B73" w:rsidRPr="00671F7C" w:rsidRDefault="002D3B73" w:rsidP="00580D9C">
      <w:pPr>
        <w:pStyle w:val="Heading5"/>
      </w:pPr>
      <w:r w:rsidRPr="00671F7C">
        <w:rPr>
          <w:rFonts w:eastAsia="Calibri"/>
          <w:lang w:val="en-GB" w:bidi="en-GB"/>
        </w:rPr>
        <w:t>Evaluation, Tender A</w:t>
      </w:r>
    </w:p>
    <w:p w14:paraId="4C118096" w14:textId="7758FB2A" w:rsidR="002D3B73" w:rsidRPr="00671F7C" w:rsidRDefault="002D3B73" w:rsidP="00671F7C">
      <w:pPr>
        <w:autoSpaceDE w:val="0"/>
        <w:autoSpaceDN w:val="0"/>
        <w:adjustRightInd w:val="0"/>
        <w:spacing w:after="80"/>
        <w:rPr>
          <w:rFonts w:asciiTheme="minorHAnsi" w:hAnsiTheme="minorHAnsi" w:cs="Calibri"/>
          <w:color w:val="000000"/>
        </w:rPr>
      </w:pPr>
      <w:r w:rsidRPr="00671F7C">
        <w:rPr>
          <w:rFonts w:asciiTheme="minorHAnsi" w:eastAsia="Calibri" w:hAnsiTheme="minorHAnsi" w:cs="Calibri"/>
          <w:color w:val="000000"/>
          <w:lang w:val="en-GB" w:bidi="en-GB"/>
        </w:rPr>
        <w:t xml:space="preserve">Percentage surcharge </w:t>
      </w:r>
      <w:r w:rsidR="00F36748" w:rsidRPr="00671F7C">
        <w:rPr>
          <w:rFonts w:asciiTheme="minorHAnsi" w:eastAsia="Calibri" w:hAnsiTheme="minorHAnsi" w:cs="Calibri"/>
          <w:color w:val="000000"/>
          <w:lang w:val="en-GB" w:bidi="en-GB"/>
        </w:rPr>
        <w:t>= (</w:t>
      </w:r>
      <w:r w:rsidRPr="00671F7C">
        <w:rPr>
          <w:rFonts w:asciiTheme="minorHAnsi" w:eastAsia="Calibri" w:hAnsiTheme="minorHAnsi" w:cs="Calibri"/>
          <w:color w:val="000000"/>
          <w:lang w:val="en-GB" w:bidi="en-GB"/>
        </w:rPr>
        <w:t xml:space="preserve">100 – 90) / 100 x 2,5; Percentage increase = 0.25; </w:t>
      </w:r>
    </w:p>
    <w:p w14:paraId="567EDE4C" w14:textId="77777777" w:rsidR="002D3B73" w:rsidRPr="00671F7C" w:rsidRDefault="002D3B73" w:rsidP="002D3B73">
      <w:pPr>
        <w:autoSpaceDE w:val="0"/>
        <w:autoSpaceDN w:val="0"/>
        <w:adjustRightInd w:val="0"/>
        <w:rPr>
          <w:rFonts w:asciiTheme="minorHAnsi" w:hAnsiTheme="minorHAnsi" w:cs="Calibri"/>
          <w:color w:val="000000"/>
        </w:rPr>
      </w:pPr>
      <w:r w:rsidRPr="00671F7C">
        <w:rPr>
          <w:rFonts w:asciiTheme="minorHAnsi" w:eastAsia="Calibri" w:hAnsiTheme="minorHAnsi" w:cs="Calibri"/>
          <w:color w:val="000000"/>
          <w:lang w:val="en-GB" w:bidi="en-GB"/>
        </w:rPr>
        <w:t>Comparative figure = 480,000 x (1 + 0.25); Comparative figure = 600,000.</w:t>
      </w:r>
    </w:p>
    <w:p w14:paraId="412C0812" w14:textId="77777777" w:rsidR="002D3B73" w:rsidRPr="00671F7C" w:rsidRDefault="002D3B73" w:rsidP="00671F7C">
      <w:pPr>
        <w:pStyle w:val="Heading5"/>
      </w:pPr>
      <w:r w:rsidRPr="00671F7C">
        <w:rPr>
          <w:rFonts w:eastAsia="Calibri"/>
          <w:lang w:val="en-GB" w:bidi="en-GB"/>
        </w:rPr>
        <w:t>Evaluation, Tender B</w:t>
      </w:r>
    </w:p>
    <w:p w14:paraId="513E743A" w14:textId="77777777" w:rsidR="002D3B73" w:rsidRPr="00671F7C" w:rsidRDefault="002D3B73" w:rsidP="00671F7C">
      <w:pPr>
        <w:autoSpaceDE w:val="0"/>
        <w:autoSpaceDN w:val="0"/>
        <w:adjustRightInd w:val="0"/>
        <w:spacing w:after="8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 xml:space="preserve">Percentage surcharge = (100 – 75) / 100 x 2,5; Percentage increase = 0.625; </w:t>
      </w:r>
    </w:p>
    <w:p w14:paraId="63FDBF2B" w14:textId="77777777" w:rsidR="002D3B73" w:rsidRPr="00671F7C" w:rsidRDefault="002D3B73" w:rsidP="002D3B73">
      <w:pPr>
        <w:autoSpaceDE w:val="0"/>
        <w:autoSpaceDN w:val="0"/>
        <w:adjustRightInd w:val="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Comparative figure = 400,000 x (1 + 0.625); Comparative figure = 650,000.</w:t>
      </w:r>
    </w:p>
    <w:p w14:paraId="28ABA917" w14:textId="77777777" w:rsidR="002D3B73" w:rsidRDefault="002D3B73" w:rsidP="00671F7C">
      <w:pPr>
        <w:rPr>
          <w:lang w:val="en-GB" w:bidi="en-GB"/>
        </w:rPr>
      </w:pPr>
      <w:r>
        <w:rPr>
          <w:lang w:val="en-GB" w:bidi="en-GB"/>
        </w:rPr>
        <w:t>The winning tender is A, since it has the lowest comparison value.</w:t>
      </w:r>
      <w:bookmarkEnd w:id="0"/>
    </w:p>
    <w:sectPr w:rsidR="002D3B73" w:rsidSect="00E059F3">
      <w:headerReference w:type="default" r:id="rId17"/>
      <w:footerReference w:type="default" r:id="rId18"/>
      <w:headerReference w:type="first" r:id="rId1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D48C" w14:textId="77777777" w:rsidR="00056B77" w:rsidRDefault="00056B77">
      <w:pPr>
        <w:spacing w:after="0"/>
      </w:pPr>
      <w:r>
        <w:separator/>
      </w:r>
    </w:p>
  </w:endnote>
  <w:endnote w:type="continuationSeparator" w:id="0">
    <w:p w14:paraId="3F1B76C4" w14:textId="77777777" w:rsidR="00056B77" w:rsidRDefault="00056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41174"/>
      <w:docPartObj>
        <w:docPartGallery w:val="Page Numbers (Bottom of Page)"/>
        <w:docPartUnique/>
      </w:docPartObj>
    </w:sdtPr>
    <w:sdtEndPr>
      <w:rPr>
        <w:rFonts w:asciiTheme="minorHAnsi" w:hAnsiTheme="minorHAnsi" w:cs="Calibri"/>
      </w:rPr>
    </w:sdtEndPr>
    <w:sdtContent>
      <w:p w14:paraId="44907B5F" w14:textId="77777777" w:rsidR="004A4B26" w:rsidRPr="005F3A4C" w:rsidRDefault="004A4B26" w:rsidP="006A3871">
        <w:pPr>
          <w:pStyle w:val="Footer"/>
          <w:jc w:val="right"/>
          <w:rPr>
            <w:rFonts w:asciiTheme="minorHAnsi" w:hAnsiTheme="minorHAnsi" w:cs="Calibri"/>
          </w:rPr>
        </w:pPr>
        <w:r w:rsidRPr="005F3A4C">
          <w:rPr>
            <w:rFonts w:asciiTheme="minorHAnsi" w:hAnsiTheme="minorHAnsi" w:cs="Calibri"/>
          </w:rPr>
          <w:fldChar w:fldCharType="begin"/>
        </w:r>
        <w:r w:rsidRPr="005F3A4C">
          <w:rPr>
            <w:rFonts w:asciiTheme="minorHAnsi" w:hAnsiTheme="minorHAnsi" w:cs="Calibri"/>
          </w:rPr>
          <w:instrText>PAGE   \* MERGEFORMAT</w:instrText>
        </w:r>
        <w:r w:rsidRPr="005F3A4C">
          <w:rPr>
            <w:rFonts w:asciiTheme="minorHAnsi" w:hAnsiTheme="minorHAnsi" w:cs="Calibri"/>
          </w:rPr>
          <w:fldChar w:fldCharType="separate"/>
        </w:r>
        <w:r w:rsidRPr="005F3A4C">
          <w:rPr>
            <w:rFonts w:asciiTheme="minorHAnsi" w:hAnsiTheme="minorHAnsi" w:cs="Calibri"/>
            <w:noProof/>
            <w:lang w:val="sv-SE"/>
          </w:rPr>
          <w:t>35</w:t>
        </w:r>
        <w:r w:rsidRPr="005F3A4C">
          <w:rPr>
            <w:rFonts w:asciiTheme="minorHAnsi" w:hAnsiTheme="minorHAns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5EF7" w14:textId="77777777" w:rsidR="00056B77" w:rsidRDefault="00056B77">
      <w:pPr>
        <w:spacing w:after="0"/>
      </w:pPr>
      <w:r>
        <w:separator/>
      </w:r>
    </w:p>
  </w:footnote>
  <w:footnote w:type="continuationSeparator" w:id="0">
    <w:p w14:paraId="784218A4" w14:textId="77777777" w:rsidR="00056B77" w:rsidRDefault="00056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7E1E" w14:textId="49F1B193" w:rsidR="00CB6650" w:rsidRPr="00CB6650" w:rsidRDefault="004A4B26">
    <w:pPr>
      <w:pStyle w:val="Header"/>
      <w:rPr>
        <w:rFonts w:asciiTheme="majorHAnsi" w:eastAsia="Calibri" w:hAnsiTheme="majorHAnsi" w:cstheme="majorHAnsi"/>
        <w:b/>
        <w:color w:val="000000"/>
        <w:sz w:val="32"/>
        <w:szCs w:val="32"/>
        <w:lang w:val="en-GB" w:bidi="en-GB"/>
      </w:rPr>
    </w:pPr>
    <w:bookmarkStart w:id="9" w:name="_Hlk511913166"/>
    <w:r w:rsidRPr="00D7245B">
      <w:rPr>
        <w:rFonts w:asciiTheme="minorHAnsi" w:hAnsiTheme="minorHAnsi" w:cstheme="majorHAnsi"/>
        <w:sz w:val="20"/>
        <w:szCs w:val="20"/>
      </w:rPr>
      <w:t>Procurement</w:t>
    </w:r>
    <w:r w:rsidRPr="00D7245B">
      <w:rPr>
        <w:rFonts w:asciiTheme="minorHAnsi" w:hAnsiTheme="minorHAnsi" w:cs="Calibri"/>
        <w:sz w:val="20"/>
        <w:szCs w:val="20"/>
      </w:rPr>
      <w:t xml:space="preserve">: </w:t>
    </w:r>
    <w:r w:rsidR="00CB6650" w:rsidRPr="001E4CEA">
      <w:rPr>
        <w:color w:val="FF0000"/>
        <w:sz w:val="18"/>
        <w:szCs w:val="16"/>
      </w:rPr>
      <w:t>FRAMEWORK AGREEMENT FOR AUDIT</w:t>
    </w:r>
    <w:r w:rsidR="003353B9">
      <w:rPr>
        <w:color w:val="FF0000"/>
        <w:sz w:val="18"/>
        <w:szCs w:val="16"/>
      </w:rPr>
      <w:t xml:space="preserve"> AND </w:t>
    </w:r>
    <w:r w:rsidR="00CB6650" w:rsidRPr="001E4CEA">
      <w:rPr>
        <w:color w:val="FF0000"/>
        <w:sz w:val="18"/>
        <w:szCs w:val="16"/>
      </w:rPr>
      <w:t>FINANCIAL SERVICES</w:t>
    </w:r>
  </w:p>
  <w:p w14:paraId="3D8C9568" w14:textId="12E8F14E" w:rsidR="004A4B26" w:rsidRPr="003353B9" w:rsidRDefault="004A4B26" w:rsidP="00CB6650">
    <w:pPr>
      <w:rPr>
        <w:rFonts w:ascii="Calibri" w:hAnsi="Calibri"/>
        <w:b/>
        <w:bCs/>
        <w:color w:val="FF0000"/>
        <w:sz w:val="22"/>
      </w:rPr>
    </w:pPr>
    <w:r w:rsidRPr="00D7245B">
      <w:rPr>
        <w:rFonts w:asciiTheme="minorHAnsi" w:hAnsiTheme="minorHAnsi" w:cs="Calibri"/>
        <w:sz w:val="20"/>
        <w:szCs w:val="20"/>
      </w:rPr>
      <w:t>Reference number:</w:t>
    </w:r>
    <w:r w:rsidR="00CB6650">
      <w:rPr>
        <w:rFonts w:asciiTheme="minorHAnsi" w:hAnsiTheme="minorHAnsi" w:cs="Calibri"/>
        <w:sz w:val="20"/>
        <w:szCs w:val="20"/>
      </w:rPr>
      <w:t xml:space="preserve"> </w:t>
    </w:r>
    <w:r w:rsidR="00CB6650" w:rsidRPr="003353B9">
      <w:rPr>
        <w:color w:val="FF0000"/>
        <w:sz w:val="18"/>
        <w:szCs w:val="16"/>
      </w:rPr>
      <w:t>UM2023/02835/PRET.</w:t>
    </w:r>
  </w:p>
  <w:bookmarkEnd w:id="9"/>
  <w:p w14:paraId="554C9258" w14:textId="77777777" w:rsidR="004A4B26" w:rsidRPr="00D7245B" w:rsidRDefault="004A4B26">
    <w:pPr>
      <w:pStyle w:val="Header"/>
      <w:rPr>
        <w:rFonts w:asciiTheme="minorHAnsi" w:hAnsiTheme="minorHAnsi"/>
        <w:sz w:val="20"/>
        <w:szCs w:val="20"/>
      </w:rPr>
    </w:pPr>
    <w:r w:rsidRPr="00D7245B">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26E6E246" wp14:editId="02836103">
              <wp:simplePos x="0" y="0"/>
              <wp:positionH relativeFrom="column">
                <wp:posOffset>-23495</wp:posOffset>
              </wp:positionH>
              <wp:positionV relativeFrom="paragraph">
                <wp:posOffset>164465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3D7F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95pt" to="481.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ymAEAAIgDAAAOAAAAZHJzL2Uyb0RvYy54bWysU9uO0zAQfUfiHyy/0yQLWqG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" strokecolor="black [3200]" strokeweight=".5pt">
              <v:stroke joinstyle="miter"/>
            </v:line>
          </w:pict>
        </mc:Fallback>
      </mc:AlternateContent>
    </w:r>
  </w:p>
  <w:p w14:paraId="75971275" w14:textId="77777777" w:rsidR="004A4B26" w:rsidRPr="00D7245B" w:rsidRDefault="004A4B26" w:rsidP="00E059F3">
    <w:pPr>
      <w:pStyle w:val="Header"/>
      <w:spacing w:after="240"/>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9B67" w14:textId="77777777" w:rsidR="004A4B26" w:rsidRPr="00466417" w:rsidRDefault="004A4B26">
    <w:pPr>
      <w:pStyle w:val="Header"/>
      <w:rPr>
        <w:sz w:val="16"/>
        <w:szCs w:val="16"/>
      </w:rPr>
    </w:pPr>
    <w:r>
      <w:tab/>
    </w:r>
    <w:r>
      <w:tab/>
    </w:r>
    <w:r w:rsidRPr="00466417">
      <w:rPr>
        <w:sz w:val="16"/>
        <w:szCs w:val="16"/>
      </w:rPr>
      <w:t>v.1.1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960"/>
    <w:multiLevelType w:val="hybridMultilevel"/>
    <w:tmpl w:val="9FAAB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21140"/>
    <w:multiLevelType w:val="multilevel"/>
    <w:tmpl w:val="0FD4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2C4A1D"/>
    <w:multiLevelType w:val="hybridMultilevel"/>
    <w:tmpl w:val="723E22B6"/>
    <w:lvl w:ilvl="0" w:tplc="04905380">
      <w:start w:val="8"/>
      <w:numFmt w:val="bullet"/>
      <w:lvlText w:val="-"/>
      <w:lvlJc w:val="left"/>
      <w:pPr>
        <w:ind w:left="720" w:hanging="360"/>
      </w:pPr>
      <w:rPr>
        <w:rFonts w:ascii="Segoe UI" w:eastAsia="Times New Roman" w:hAnsi="Segoe UI" w:cs="Segoe U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D0812D4"/>
    <w:multiLevelType w:val="hybridMultilevel"/>
    <w:tmpl w:val="CCDCB078"/>
    <w:lvl w:ilvl="0" w:tplc="9B12AD12">
      <w:start w:val="4"/>
      <w:numFmt w:val="bullet"/>
      <w:lvlText w:val="-"/>
      <w:lvlJc w:val="left"/>
      <w:pPr>
        <w:ind w:left="720" w:hanging="360"/>
      </w:pPr>
      <w:rPr>
        <w:rFonts w:ascii="ArialMT" w:eastAsiaTheme="minorHAnsi" w:hAnsi="ArialMT" w:cs="ArialMT" w:hint="default"/>
        <w:b w:val="0"/>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EE934A5"/>
    <w:multiLevelType w:val="hybridMultilevel"/>
    <w:tmpl w:val="A30C8F74"/>
    <w:lvl w:ilvl="0" w:tplc="E0945308">
      <w:start w:val="3"/>
      <w:numFmt w:val="bullet"/>
      <w:lvlText w:val="-"/>
      <w:lvlJc w:val="left"/>
      <w:pPr>
        <w:ind w:left="720" w:hanging="360"/>
      </w:pPr>
      <w:rPr>
        <w:rFonts w:ascii="Calibri" w:eastAsiaTheme="minorHAnsi" w:hAnsi="Calibri" w:cs="Calibr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08447E9"/>
    <w:multiLevelType w:val="multilevel"/>
    <w:tmpl w:val="0A40A7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2BF4C98"/>
    <w:multiLevelType w:val="multilevel"/>
    <w:tmpl w:val="61BA92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8F52597"/>
    <w:multiLevelType w:val="hybridMultilevel"/>
    <w:tmpl w:val="A718E9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9700571"/>
    <w:multiLevelType w:val="hybridMultilevel"/>
    <w:tmpl w:val="F4F85B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CDE2DF0"/>
    <w:multiLevelType w:val="multilevel"/>
    <w:tmpl w:val="F378FDE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1EB24B57"/>
    <w:multiLevelType w:val="hybridMultilevel"/>
    <w:tmpl w:val="40184D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B53FD5"/>
    <w:multiLevelType w:val="hybridMultilevel"/>
    <w:tmpl w:val="31FCF7E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2" w15:restartNumberingAfterBreak="0">
    <w:nsid w:val="208D69C8"/>
    <w:multiLevelType w:val="hybridMultilevel"/>
    <w:tmpl w:val="F6B8BD7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2BE0C68"/>
    <w:multiLevelType w:val="hybridMultilevel"/>
    <w:tmpl w:val="50F2CE5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8B864C0"/>
    <w:multiLevelType w:val="hybridMultilevel"/>
    <w:tmpl w:val="F2AE9A2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032251E"/>
    <w:multiLevelType w:val="hybridMultilevel"/>
    <w:tmpl w:val="F4BC7A70"/>
    <w:lvl w:ilvl="0" w:tplc="79CE4BA8">
      <w:start w:val="1"/>
      <w:numFmt w:val="decimal"/>
      <w:lvlText w:val="%1)"/>
      <w:lvlJc w:val="left"/>
      <w:pPr>
        <w:ind w:left="1080" w:hanging="360"/>
      </w:pPr>
      <w:rPr>
        <w:b/>
      </w:rPr>
    </w:lvl>
    <w:lvl w:ilvl="1" w:tplc="8C0664F2">
      <w:numFmt w:val="bullet"/>
      <w:lvlText w:val="•"/>
      <w:lvlJc w:val="left"/>
      <w:pPr>
        <w:ind w:left="1800" w:hanging="360"/>
      </w:pPr>
      <w:rPr>
        <w:rFonts w:ascii="ArialMT" w:eastAsiaTheme="minorHAnsi" w:hAnsi="ArialMT" w:cs="ArialMT" w:hint="default"/>
      </w:r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6" w15:restartNumberingAfterBreak="0">
    <w:nsid w:val="368435E5"/>
    <w:multiLevelType w:val="multilevel"/>
    <w:tmpl w:val="A0B8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0975C6"/>
    <w:multiLevelType w:val="hybridMultilevel"/>
    <w:tmpl w:val="FD9A832C"/>
    <w:lvl w:ilvl="0" w:tplc="E0945308">
      <w:start w:val="3"/>
      <w:numFmt w:val="bullet"/>
      <w:lvlText w:val="-"/>
      <w:lvlJc w:val="left"/>
      <w:pPr>
        <w:ind w:left="1440" w:hanging="360"/>
      </w:pPr>
      <w:rPr>
        <w:rFonts w:ascii="Calibri" w:eastAsiaTheme="minorHAnsi" w:hAnsi="Calibri" w:cs="Calibri" w:hint="default"/>
        <w:color w:val="000000" w:themeColor="text1"/>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3CAC5023"/>
    <w:multiLevelType w:val="hybridMultilevel"/>
    <w:tmpl w:val="160AE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17F6394"/>
    <w:multiLevelType w:val="multilevel"/>
    <w:tmpl w:val="D58864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1" w15:restartNumberingAfterBreak="0">
    <w:nsid w:val="4B525048"/>
    <w:multiLevelType w:val="hybridMultilevel"/>
    <w:tmpl w:val="317270A8"/>
    <w:lvl w:ilvl="0" w:tplc="67826BC6">
      <w:start w:val="1"/>
      <w:numFmt w:val="lowerLetter"/>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4B9A0594"/>
    <w:multiLevelType w:val="hybridMultilevel"/>
    <w:tmpl w:val="5426CF7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508C4CEC"/>
    <w:multiLevelType w:val="multilevel"/>
    <w:tmpl w:val="71A67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92936F3"/>
    <w:multiLevelType w:val="multilevel"/>
    <w:tmpl w:val="8D2E8C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5A4F45C9"/>
    <w:multiLevelType w:val="hybridMultilevel"/>
    <w:tmpl w:val="C93EC8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1619E9"/>
    <w:multiLevelType w:val="multilevel"/>
    <w:tmpl w:val="752218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660942E1"/>
    <w:multiLevelType w:val="hybridMultilevel"/>
    <w:tmpl w:val="F6BC3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0373BA1"/>
    <w:multiLevelType w:val="multilevel"/>
    <w:tmpl w:val="A77E31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8935FB1"/>
    <w:multiLevelType w:val="multilevel"/>
    <w:tmpl w:val="9B2C54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B0962F6"/>
    <w:multiLevelType w:val="multilevel"/>
    <w:tmpl w:val="A7120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53575202">
    <w:abstractNumId w:val="7"/>
  </w:num>
  <w:num w:numId="2" w16cid:durableId="309023207">
    <w:abstractNumId w:val="11"/>
  </w:num>
  <w:num w:numId="3" w16cid:durableId="814689040">
    <w:abstractNumId w:val="18"/>
  </w:num>
  <w:num w:numId="4" w16cid:durableId="308633903">
    <w:abstractNumId w:val="27"/>
  </w:num>
  <w:num w:numId="5" w16cid:durableId="665131483">
    <w:abstractNumId w:val="21"/>
  </w:num>
  <w:num w:numId="6" w16cid:durableId="575017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465389">
    <w:abstractNumId w:val="20"/>
  </w:num>
  <w:num w:numId="8" w16cid:durableId="587496842">
    <w:abstractNumId w:val="3"/>
  </w:num>
  <w:num w:numId="9" w16cid:durableId="1953855836">
    <w:abstractNumId w:val="13"/>
  </w:num>
  <w:num w:numId="10" w16cid:durableId="77948845">
    <w:abstractNumId w:val="15"/>
  </w:num>
  <w:num w:numId="11" w16cid:durableId="32906807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5617194">
    <w:abstractNumId w:val="2"/>
  </w:num>
  <w:num w:numId="13" w16cid:durableId="1221594054">
    <w:abstractNumId w:val="14"/>
  </w:num>
  <w:num w:numId="14" w16cid:durableId="388307536">
    <w:abstractNumId w:val="4"/>
  </w:num>
  <w:num w:numId="15" w16cid:durableId="428938885">
    <w:abstractNumId w:val="12"/>
  </w:num>
  <w:num w:numId="16" w16cid:durableId="1339845623">
    <w:abstractNumId w:val="22"/>
  </w:num>
  <w:num w:numId="17" w16cid:durableId="830102682">
    <w:abstractNumId w:val="19"/>
  </w:num>
  <w:num w:numId="18" w16cid:durableId="1658416421">
    <w:abstractNumId w:val="9"/>
  </w:num>
  <w:num w:numId="19" w16cid:durableId="263809014">
    <w:abstractNumId w:val="24"/>
  </w:num>
  <w:num w:numId="20" w16cid:durableId="1038354341">
    <w:abstractNumId w:val="5"/>
  </w:num>
  <w:num w:numId="21" w16cid:durableId="1964917424">
    <w:abstractNumId w:val="28"/>
  </w:num>
  <w:num w:numId="22" w16cid:durableId="1910119332">
    <w:abstractNumId w:val="26"/>
  </w:num>
  <w:num w:numId="23" w16cid:durableId="728262121">
    <w:abstractNumId w:val="29"/>
  </w:num>
  <w:num w:numId="24" w16cid:durableId="999386419">
    <w:abstractNumId w:val="6"/>
  </w:num>
  <w:num w:numId="25" w16cid:durableId="1274824848">
    <w:abstractNumId w:val="1"/>
  </w:num>
  <w:num w:numId="26" w16cid:durableId="1164904226">
    <w:abstractNumId w:val="30"/>
  </w:num>
  <w:num w:numId="27" w16cid:durableId="709837700">
    <w:abstractNumId w:val="17"/>
  </w:num>
  <w:num w:numId="28" w16cid:durableId="65425680">
    <w:abstractNumId w:val="23"/>
  </w:num>
  <w:num w:numId="29" w16cid:durableId="1605532735">
    <w:abstractNumId w:val="0"/>
  </w:num>
  <w:num w:numId="30" w16cid:durableId="1562865256">
    <w:abstractNumId w:val="16"/>
  </w:num>
  <w:num w:numId="31" w16cid:durableId="877275960">
    <w:abstractNumId w:val="8"/>
  </w:num>
  <w:num w:numId="32" w16cid:durableId="1848249778">
    <w:abstractNumId w:val="25"/>
  </w:num>
  <w:num w:numId="33" w16cid:durableId="514734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73"/>
    <w:rsid w:val="00003651"/>
    <w:rsid w:val="000134F3"/>
    <w:rsid w:val="000202CA"/>
    <w:rsid w:val="00023029"/>
    <w:rsid w:val="000233DA"/>
    <w:rsid w:val="00023BE0"/>
    <w:rsid w:val="00032963"/>
    <w:rsid w:val="000373EB"/>
    <w:rsid w:val="00055F40"/>
    <w:rsid w:val="00056B77"/>
    <w:rsid w:val="00064D5D"/>
    <w:rsid w:val="00072169"/>
    <w:rsid w:val="00072196"/>
    <w:rsid w:val="00073DF0"/>
    <w:rsid w:val="00081D02"/>
    <w:rsid w:val="00086CC7"/>
    <w:rsid w:val="00091B8E"/>
    <w:rsid w:val="00093D9E"/>
    <w:rsid w:val="000A2EFF"/>
    <w:rsid w:val="000C16F8"/>
    <w:rsid w:val="000C7F8C"/>
    <w:rsid w:val="000D2FD5"/>
    <w:rsid w:val="000D4002"/>
    <w:rsid w:val="000D68A5"/>
    <w:rsid w:val="000E4F6A"/>
    <w:rsid w:val="00110B92"/>
    <w:rsid w:val="00113A2F"/>
    <w:rsid w:val="00116153"/>
    <w:rsid w:val="00120C9F"/>
    <w:rsid w:val="00122F28"/>
    <w:rsid w:val="0012585A"/>
    <w:rsid w:val="00125D3D"/>
    <w:rsid w:val="00130705"/>
    <w:rsid w:val="001322BB"/>
    <w:rsid w:val="00133332"/>
    <w:rsid w:val="00133E17"/>
    <w:rsid w:val="00152A4F"/>
    <w:rsid w:val="001658BD"/>
    <w:rsid w:val="0017071A"/>
    <w:rsid w:val="00171E7F"/>
    <w:rsid w:val="00176BF6"/>
    <w:rsid w:val="00176BFD"/>
    <w:rsid w:val="001807A6"/>
    <w:rsid w:val="00180969"/>
    <w:rsid w:val="001857C0"/>
    <w:rsid w:val="00187DBB"/>
    <w:rsid w:val="00191902"/>
    <w:rsid w:val="00195888"/>
    <w:rsid w:val="0019696D"/>
    <w:rsid w:val="001A5EAB"/>
    <w:rsid w:val="001A75FC"/>
    <w:rsid w:val="001B13A5"/>
    <w:rsid w:val="001B5A11"/>
    <w:rsid w:val="001C1222"/>
    <w:rsid w:val="001D14B8"/>
    <w:rsid w:val="001D244F"/>
    <w:rsid w:val="001E4CEA"/>
    <w:rsid w:val="001F446D"/>
    <w:rsid w:val="001F549E"/>
    <w:rsid w:val="00202765"/>
    <w:rsid w:val="00203921"/>
    <w:rsid w:val="0020673B"/>
    <w:rsid w:val="00211394"/>
    <w:rsid w:val="00213ADE"/>
    <w:rsid w:val="00217B21"/>
    <w:rsid w:val="00231909"/>
    <w:rsid w:val="00231A9A"/>
    <w:rsid w:val="00232935"/>
    <w:rsid w:val="002571BD"/>
    <w:rsid w:val="00273F09"/>
    <w:rsid w:val="00277288"/>
    <w:rsid w:val="002808D3"/>
    <w:rsid w:val="00283C1E"/>
    <w:rsid w:val="0028654D"/>
    <w:rsid w:val="00290CD0"/>
    <w:rsid w:val="002964A3"/>
    <w:rsid w:val="002A3EC3"/>
    <w:rsid w:val="002D3B73"/>
    <w:rsid w:val="002D72FB"/>
    <w:rsid w:val="002E4073"/>
    <w:rsid w:val="002E4DBA"/>
    <w:rsid w:val="002F5B85"/>
    <w:rsid w:val="002F6A15"/>
    <w:rsid w:val="00302E72"/>
    <w:rsid w:val="00304331"/>
    <w:rsid w:val="00311190"/>
    <w:rsid w:val="00321333"/>
    <w:rsid w:val="00323AAB"/>
    <w:rsid w:val="00325BA7"/>
    <w:rsid w:val="00331029"/>
    <w:rsid w:val="00332854"/>
    <w:rsid w:val="003353B9"/>
    <w:rsid w:val="003373C8"/>
    <w:rsid w:val="00337BC8"/>
    <w:rsid w:val="0035084C"/>
    <w:rsid w:val="00350AEF"/>
    <w:rsid w:val="0035138A"/>
    <w:rsid w:val="003517F6"/>
    <w:rsid w:val="003533FB"/>
    <w:rsid w:val="00354801"/>
    <w:rsid w:val="003637FE"/>
    <w:rsid w:val="00364D07"/>
    <w:rsid w:val="003650A9"/>
    <w:rsid w:val="003669E0"/>
    <w:rsid w:val="003730BC"/>
    <w:rsid w:val="00377903"/>
    <w:rsid w:val="00392E14"/>
    <w:rsid w:val="003B07DB"/>
    <w:rsid w:val="003B5AB9"/>
    <w:rsid w:val="003C561F"/>
    <w:rsid w:val="003D3C64"/>
    <w:rsid w:val="003F27EF"/>
    <w:rsid w:val="003F7C57"/>
    <w:rsid w:val="00413C13"/>
    <w:rsid w:val="00441B1D"/>
    <w:rsid w:val="00447BFF"/>
    <w:rsid w:val="00456E2D"/>
    <w:rsid w:val="00470ACD"/>
    <w:rsid w:val="0047100F"/>
    <w:rsid w:val="004857D5"/>
    <w:rsid w:val="004A4649"/>
    <w:rsid w:val="004A4B26"/>
    <w:rsid w:val="004A52B0"/>
    <w:rsid w:val="004B49EC"/>
    <w:rsid w:val="004E283C"/>
    <w:rsid w:val="004E7A25"/>
    <w:rsid w:val="004F0ED4"/>
    <w:rsid w:val="004F6468"/>
    <w:rsid w:val="004F6A69"/>
    <w:rsid w:val="005014BA"/>
    <w:rsid w:val="00502A4A"/>
    <w:rsid w:val="0050413D"/>
    <w:rsid w:val="00515BC4"/>
    <w:rsid w:val="005233EE"/>
    <w:rsid w:val="00523521"/>
    <w:rsid w:val="005243B6"/>
    <w:rsid w:val="0053661E"/>
    <w:rsid w:val="00552F08"/>
    <w:rsid w:val="005532C2"/>
    <w:rsid w:val="0056773D"/>
    <w:rsid w:val="00570A7B"/>
    <w:rsid w:val="00573DBA"/>
    <w:rsid w:val="00577F0A"/>
    <w:rsid w:val="00580D9C"/>
    <w:rsid w:val="005819DB"/>
    <w:rsid w:val="00584594"/>
    <w:rsid w:val="005A2CDB"/>
    <w:rsid w:val="005A5CC3"/>
    <w:rsid w:val="005C110A"/>
    <w:rsid w:val="005D1DCB"/>
    <w:rsid w:val="005D352C"/>
    <w:rsid w:val="005D5886"/>
    <w:rsid w:val="005F3A4C"/>
    <w:rsid w:val="005F68B0"/>
    <w:rsid w:val="006034A2"/>
    <w:rsid w:val="0060420C"/>
    <w:rsid w:val="00604CDB"/>
    <w:rsid w:val="006217E3"/>
    <w:rsid w:val="00633328"/>
    <w:rsid w:val="00634276"/>
    <w:rsid w:val="00642E33"/>
    <w:rsid w:val="006600A1"/>
    <w:rsid w:val="00662036"/>
    <w:rsid w:val="00671F7C"/>
    <w:rsid w:val="006751C1"/>
    <w:rsid w:val="00685C2F"/>
    <w:rsid w:val="006914A9"/>
    <w:rsid w:val="006A3871"/>
    <w:rsid w:val="006C2BAE"/>
    <w:rsid w:val="006D6535"/>
    <w:rsid w:val="00702596"/>
    <w:rsid w:val="00706477"/>
    <w:rsid w:val="00712418"/>
    <w:rsid w:val="007227D0"/>
    <w:rsid w:val="00726B5C"/>
    <w:rsid w:val="007359A0"/>
    <w:rsid w:val="007422EB"/>
    <w:rsid w:val="007500C1"/>
    <w:rsid w:val="00750CAD"/>
    <w:rsid w:val="00753296"/>
    <w:rsid w:val="00755219"/>
    <w:rsid w:val="00775381"/>
    <w:rsid w:val="007769A9"/>
    <w:rsid w:val="0078640C"/>
    <w:rsid w:val="0078799C"/>
    <w:rsid w:val="007911EE"/>
    <w:rsid w:val="00792327"/>
    <w:rsid w:val="00792B23"/>
    <w:rsid w:val="00795C48"/>
    <w:rsid w:val="007A2682"/>
    <w:rsid w:val="007B077A"/>
    <w:rsid w:val="007B3C68"/>
    <w:rsid w:val="007B4148"/>
    <w:rsid w:val="007C7066"/>
    <w:rsid w:val="007D55F6"/>
    <w:rsid w:val="007E5401"/>
    <w:rsid w:val="007E683A"/>
    <w:rsid w:val="007F1462"/>
    <w:rsid w:val="00810152"/>
    <w:rsid w:val="00827A86"/>
    <w:rsid w:val="00827D1F"/>
    <w:rsid w:val="00827D35"/>
    <w:rsid w:val="00830303"/>
    <w:rsid w:val="0084488A"/>
    <w:rsid w:val="008448A9"/>
    <w:rsid w:val="00845151"/>
    <w:rsid w:val="00851322"/>
    <w:rsid w:val="00852DFF"/>
    <w:rsid w:val="00854F7C"/>
    <w:rsid w:val="00882F0D"/>
    <w:rsid w:val="008839CE"/>
    <w:rsid w:val="008927F1"/>
    <w:rsid w:val="0089576E"/>
    <w:rsid w:val="00896513"/>
    <w:rsid w:val="008A2FC5"/>
    <w:rsid w:val="008A40A5"/>
    <w:rsid w:val="008A502A"/>
    <w:rsid w:val="008A7DE9"/>
    <w:rsid w:val="008B182A"/>
    <w:rsid w:val="008B19FC"/>
    <w:rsid w:val="008B47EC"/>
    <w:rsid w:val="008C15A3"/>
    <w:rsid w:val="008C7DB2"/>
    <w:rsid w:val="008D5BB3"/>
    <w:rsid w:val="008F3D21"/>
    <w:rsid w:val="00901FEF"/>
    <w:rsid w:val="00903B3F"/>
    <w:rsid w:val="00904A3F"/>
    <w:rsid w:val="0093015D"/>
    <w:rsid w:val="009305FB"/>
    <w:rsid w:val="009400C6"/>
    <w:rsid w:val="00941482"/>
    <w:rsid w:val="009478E7"/>
    <w:rsid w:val="00954C5E"/>
    <w:rsid w:val="009550C6"/>
    <w:rsid w:val="00956846"/>
    <w:rsid w:val="00964585"/>
    <w:rsid w:val="009819A2"/>
    <w:rsid w:val="0099067C"/>
    <w:rsid w:val="00991662"/>
    <w:rsid w:val="009A29D8"/>
    <w:rsid w:val="009B227D"/>
    <w:rsid w:val="009B39BA"/>
    <w:rsid w:val="009B53F3"/>
    <w:rsid w:val="009C70E3"/>
    <w:rsid w:val="009D4F25"/>
    <w:rsid w:val="009E0C4D"/>
    <w:rsid w:val="009E1B77"/>
    <w:rsid w:val="009E349B"/>
    <w:rsid w:val="009E4CD7"/>
    <w:rsid w:val="009F1746"/>
    <w:rsid w:val="009F2365"/>
    <w:rsid w:val="009F25BB"/>
    <w:rsid w:val="009F57F7"/>
    <w:rsid w:val="00A00D10"/>
    <w:rsid w:val="00A01992"/>
    <w:rsid w:val="00A04118"/>
    <w:rsid w:val="00A20AC6"/>
    <w:rsid w:val="00A22C86"/>
    <w:rsid w:val="00A26CA6"/>
    <w:rsid w:val="00A43F03"/>
    <w:rsid w:val="00A620D4"/>
    <w:rsid w:val="00A72EA1"/>
    <w:rsid w:val="00A824DE"/>
    <w:rsid w:val="00A84488"/>
    <w:rsid w:val="00A848F9"/>
    <w:rsid w:val="00AA19A4"/>
    <w:rsid w:val="00AA5B0E"/>
    <w:rsid w:val="00AB7778"/>
    <w:rsid w:val="00AB7B62"/>
    <w:rsid w:val="00AC1FBE"/>
    <w:rsid w:val="00AC42DF"/>
    <w:rsid w:val="00AD0554"/>
    <w:rsid w:val="00AE295A"/>
    <w:rsid w:val="00AE5264"/>
    <w:rsid w:val="00AE61A8"/>
    <w:rsid w:val="00AE64F0"/>
    <w:rsid w:val="00AE6E11"/>
    <w:rsid w:val="00AE7C26"/>
    <w:rsid w:val="00B0176F"/>
    <w:rsid w:val="00B043C9"/>
    <w:rsid w:val="00B13241"/>
    <w:rsid w:val="00B152D7"/>
    <w:rsid w:val="00B35B57"/>
    <w:rsid w:val="00B40DD4"/>
    <w:rsid w:val="00B41C9E"/>
    <w:rsid w:val="00B435A7"/>
    <w:rsid w:val="00B5663B"/>
    <w:rsid w:val="00B77796"/>
    <w:rsid w:val="00B94080"/>
    <w:rsid w:val="00B946A3"/>
    <w:rsid w:val="00BA2121"/>
    <w:rsid w:val="00BA405F"/>
    <w:rsid w:val="00BA75CF"/>
    <w:rsid w:val="00BB045A"/>
    <w:rsid w:val="00BB1691"/>
    <w:rsid w:val="00BB2395"/>
    <w:rsid w:val="00BB3D43"/>
    <w:rsid w:val="00BB4A7C"/>
    <w:rsid w:val="00BB6559"/>
    <w:rsid w:val="00BC10F1"/>
    <w:rsid w:val="00BC27C8"/>
    <w:rsid w:val="00BD06B2"/>
    <w:rsid w:val="00BE2047"/>
    <w:rsid w:val="00BF07BA"/>
    <w:rsid w:val="00C0069F"/>
    <w:rsid w:val="00C114C6"/>
    <w:rsid w:val="00C1171D"/>
    <w:rsid w:val="00C14298"/>
    <w:rsid w:val="00C1436C"/>
    <w:rsid w:val="00C20EBA"/>
    <w:rsid w:val="00C215CA"/>
    <w:rsid w:val="00C25145"/>
    <w:rsid w:val="00C302F3"/>
    <w:rsid w:val="00C32938"/>
    <w:rsid w:val="00C3541D"/>
    <w:rsid w:val="00C47D71"/>
    <w:rsid w:val="00C47FC5"/>
    <w:rsid w:val="00C61453"/>
    <w:rsid w:val="00C61EF1"/>
    <w:rsid w:val="00C620C4"/>
    <w:rsid w:val="00C82BBA"/>
    <w:rsid w:val="00C916C6"/>
    <w:rsid w:val="00C92340"/>
    <w:rsid w:val="00C924C0"/>
    <w:rsid w:val="00C92DC8"/>
    <w:rsid w:val="00C92E64"/>
    <w:rsid w:val="00C93E53"/>
    <w:rsid w:val="00CB2E94"/>
    <w:rsid w:val="00CB4727"/>
    <w:rsid w:val="00CB6650"/>
    <w:rsid w:val="00CC12B0"/>
    <w:rsid w:val="00CD6CFD"/>
    <w:rsid w:val="00CF029E"/>
    <w:rsid w:val="00CF5ACF"/>
    <w:rsid w:val="00D17117"/>
    <w:rsid w:val="00D17E02"/>
    <w:rsid w:val="00D249E8"/>
    <w:rsid w:val="00D2772D"/>
    <w:rsid w:val="00D3441B"/>
    <w:rsid w:val="00D37109"/>
    <w:rsid w:val="00D53EC0"/>
    <w:rsid w:val="00D56721"/>
    <w:rsid w:val="00D57B08"/>
    <w:rsid w:val="00D653A9"/>
    <w:rsid w:val="00D679BA"/>
    <w:rsid w:val="00D7000F"/>
    <w:rsid w:val="00D7245B"/>
    <w:rsid w:val="00D87756"/>
    <w:rsid w:val="00D912F5"/>
    <w:rsid w:val="00D972E1"/>
    <w:rsid w:val="00DA3C23"/>
    <w:rsid w:val="00DB1220"/>
    <w:rsid w:val="00DB5272"/>
    <w:rsid w:val="00DC69F3"/>
    <w:rsid w:val="00DE4CB2"/>
    <w:rsid w:val="00DE7DCE"/>
    <w:rsid w:val="00DF155F"/>
    <w:rsid w:val="00DF79A6"/>
    <w:rsid w:val="00E057A4"/>
    <w:rsid w:val="00E059F3"/>
    <w:rsid w:val="00E079B3"/>
    <w:rsid w:val="00E20817"/>
    <w:rsid w:val="00E22874"/>
    <w:rsid w:val="00E34A10"/>
    <w:rsid w:val="00E410A9"/>
    <w:rsid w:val="00E45741"/>
    <w:rsid w:val="00E5022D"/>
    <w:rsid w:val="00E6702B"/>
    <w:rsid w:val="00E708E5"/>
    <w:rsid w:val="00E8753E"/>
    <w:rsid w:val="00EA0321"/>
    <w:rsid w:val="00EA0380"/>
    <w:rsid w:val="00EA0509"/>
    <w:rsid w:val="00EB0653"/>
    <w:rsid w:val="00EC1E0C"/>
    <w:rsid w:val="00EC2168"/>
    <w:rsid w:val="00EC3547"/>
    <w:rsid w:val="00EC7F8D"/>
    <w:rsid w:val="00EE0237"/>
    <w:rsid w:val="00EE168E"/>
    <w:rsid w:val="00EE4A21"/>
    <w:rsid w:val="00EF0601"/>
    <w:rsid w:val="00EF089E"/>
    <w:rsid w:val="00EF1780"/>
    <w:rsid w:val="00F01D4E"/>
    <w:rsid w:val="00F10510"/>
    <w:rsid w:val="00F2624D"/>
    <w:rsid w:val="00F31515"/>
    <w:rsid w:val="00F364CC"/>
    <w:rsid w:val="00F36748"/>
    <w:rsid w:val="00F46ACD"/>
    <w:rsid w:val="00F7007F"/>
    <w:rsid w:val="00F91678"/>
    <w:rsid w:val="00FA37D6"/>
    <w:rsid w:val="00FA422F"/>
    <w:rsid w:val="00FB1F40"/>
    <w:rsid w:val="00FB21E3"/>
    <w:rsid w:val="00FC44B7"/>
    <w:rsid w:val="00FE1BC8"/>
    <w:rsid w:val="00FE3F39"/>
    <w:rsid w:val="00FF3944"/>
    <w:rsid w:val="00FF6C7C"/>
    <w:rsid w:val="00FF7065"/>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E26F"/>
  <w15:chartTrackingRefBased/>
  <w15:docId w15:val="{16F2FE93-EB00-4F01-9C24-1C56E4E4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E0"/>
    <w:pPr>
      <w:spacing w:line="240" w:lineRule="auto"/>
    </w:pPr>
    <w:rPr>
      <w:rFonts w:ascii="Garamond" w:hAnsi="Garamond"/>
      <w:sz w:val="24"/>
      <w:lang w:val="en-US"/>
    </w:rPr>
  </w:style>
  <w:style w:type="paragraph" w:styleId="Heading1">
    <w:name w:val="heading 1"/>
    <w:basedOn w:val="Normal"/>
    <w:next w:val="Normal"/>
    <w:link w:val="Heading1Char"/>
    <w:uiPriority w:val="9"/>
    <w:qFormat/>
    <w:rsid w:val="008F3D21"/>
    <w:pPr>
      <w:keepLines/>
      <w:pageBreakBefore/>
      <w:spacing w:before="360" w:after="120"/>
      <w:outlineLvl w:val="0"/>
    </w:pPr>
    <w:rPr>
      <w:rFonts w:ascii="Arial" w:eastAsiaTheme="majorEastAsia" w:hAnsi="Arial" w:cstheme="majorBidi"/>
      <w:b/>
      <w:sz w:val="36"/>
      <w:szCs w:val="36"/>
    </w:rPr>
  </w:style>
  <w:style w:type="paragraph" w:styleId="Heading2">
    <w:name w:val="heading 2"/>
    <w:basedOn w:val="Normal"/>
    <w:next w:val="Normal"/>
    <w:link w:val="Heading2Char"/>
    <w:uiPriority w:val="9"/>
    <w:unhideWhenUsed/>
    <w:qFormat/>
    <w:rsid w:val="00B152D7"/>
    <w:pPr>
      <w:keepNext/>
      <w:keepLines/>
      <w:spacing w:before="360" w:after="12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D7000F"/>
    <w:pPr>
      <w:keepNext/>
      <w:keepLines/>
      <w:spacing w:before="40" w:after="0"/>
      <w:outlineLvl w:val="2"/>
    </w:pPr>
    <w:rPr>
      <w:rFonts w:ascii="Arial" w:eastAsiaTheme="majorEastAsia" w:hAnsi="Arial" w:cstheme="majorBidi"/>
      <w:b/>
      <w:sz w:val="28"/>
      <w:szCs w:val="28"/>
    </w:rPr>
  </w:style>
  <w:style w:type="paragraph" w:styleId="Heading4">
    <w:name w:val="heading 4"/>
    <w:basedOn w:val="Normal"/>
    <w:next w:val="Normal"/>
    <w:link w:val="Heading4Char"/>
    <w:uiPriority w:val="9"/>
    <w:unhideWhenUsed/>
    <w:qFormat/>
    <w:rsid w:val="008B182A"/>
    <w:pPr>
      <w:keepNext/>
      <w:keepLines/>
      <w:spacing w:before="40" w:after="0"/>
      <w:outlineLvl w:val="3"/>
    </w:pPr>
    <w:rPr>
      <w:rFonts w:asciiTheme="majorHAnsi" w:eastAsiaTheme="majorEastAsia" w:hAnsiTheme="majorHAnsi" w:cstheme="majorBidi"/>
      <w:b/>
      <w:sz w:val="22"/>
      <w:szCs w:val="24"/>
    </w:rPr>
  </w:style>
  <w:style w:type="paragraph" w:styleId="Heading5">
    <w:name w:val="heading 5"/>
    <w:basedOn w:val="Normal"/>
    <w:next w:val="Normal"/>
    <w:link w:val="Heading5Char"/>
    <w:uiPriority w:val="9"/>
    <w:unhideWhenUsed/>
    <w:qFormat/>
    <w:rsid w:val="00580D9C"/>
    <w:pPr>
      <w:keepNext/>
      <w:keepLines/>
      <w:spacing w:before="160" w:after="60"/>
      <w:outlineLvl w:val="4"/>
    </w:pPr>
    <w:rPr>
      <w:rFonts w:asciiTheme="minorHAnsi" w:eastAsiaTheme="majorEastAsia" w:hAnsiTheme="minorHAnsi" w:cstheme="majorBidi"/>
    </w:rPr>
  </w:style>
  <w:style w:type="paragraph" w:styleId="Heading6">
    <w:name w:val="heading 6"/>
    <w:basedOn w:val="Normal"/>
    <w:next w:val="Normal"/>
    <w:link w:val="Heading6Char"/>
    <w:uiPriority w:val="9"/>
    <w:semiHidden/>
    <w:unhideWhenUsed/>
    <w:qFormat/>
    <w:rsid w:val="00F7007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D21"/>
    <w:rPr>
      <w:rFonts w:ascii="Arial" w:eastAsiaTheme="majorEastAsia" w:hAnsi="Arial" w:cstheme="majorBidi"/>
      <w:b/>
      <w:sz w:val="36"/>
      <w:szCs w:val="36"/>
      <w:lang w:val="en-US"/>
    </w:rPr>
  </w:style>
  <w:style w:type="character" w:customStyle="1" w:styleId="Heading2Char">
    <w:name w:val="Heading 2 Char"/>
    <w:basedOn w:val="DefaultParagraphFont"/>
    <w:link w:val="Heading2"/>
    <w:uiPriority w:val="9"/>
    <w:rsid w:val="00B152D7"/>
    <w:rPr>
      <w:rFonts w:ascii="Arial" w:eastAsiaTheme="majorEastAsia" w:hAnsi="Arial" w:cstheme="majorBidi"/>
      <w:b/>
      <w:sz w:val="32"/>
      <w:szCs w:val="32"/>
      <w:lang w:val="en-US"/>
    </w:rPr>
  </w:style>
  <w:style w:type="character" w:customStyle="1" w:styleId="Heading3Char">
    <w:name w:val="Heading 3 Char"/>
    <w:basedOn w:val="DefaultParagraphFont"/>
    <w:link w:val="Heading3"/>
    <w:uiPriority w:val="9"/>
    <w:rsid w:val="00D7000F"/>
    <w:rPr>
      <w:rFonts w:ascii="Arial" w:eastAsiaTheme="majorEastAsia" w:hAnsi="Arial" w:cstheme="majorBidi"/>
      <w:b/>
      <w:sz w:val="28"/>
      <w:szCs w:val="28"/>
      <w:lang w:val="en-US"/>
    </w:rPr>
  </w:style>
  <w:style w:type="character" w:customStyle="1" w:styleId="Heading4Char">
    <w:name w:val="Heading 4 Char"/>
    <w:basedOn w:val="DefaultParagraphFont"/>
    <w:link w:val="Heading4"/>
    <w:uiPriority w:val="9"/>
    <w:rsid w:val="008B182A"/>
    <w:rPr>
      <w:rFonts w:asciiTheme="majorHAnsi" w:eastAsiaTheme="majorEastAsia" w:hAnsiTheme="majorHAnsi" w:cstheme="majorBidi"/>
      <w:b/>
      <w:szCs w:val="24"/>
      <w:lang w:val="en-US"/>
    </w:rPr>
  </w:style>
  <w:style w:type="character" w:customStyle="1" w:styleId="Heading5Char">
    <w:name w:val="Heading 5 Char"/>
    <w:basedOn w:val="DefaultParagraphFont"/>
    <w:link w:val="Heading5"/>
    <w:uiPriority w:val="9"/>
    <w:rsid w:val="00580D9C"/>
    <w:rPr>
      <w:rFonts w:eastAsiaTheme="majorEastAsia" w:cstheme="majorBidi"/>
      <w:sz w:val="24"/>
      <w:lang w:val="en-US"/>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Hyperlink">
    <w:name w:val="Hyperlink"/>
    <w:basedOn w:val="DefaultParagraphFont"/>
    <w:uiPriority w:val="99"/>
    <w:unhideWhenUsed/>
    <w:rsid w:val="002D3B73"/>
    <w:rPr>
      <w:strike w:val="0"/>
      <w:dstrike w:val="0"/>
      <w:color w:val="537FCA"/>
      <w:u w:val="none"/>
      <w:effect w:val="none"/>
    </w:rPr>
  </w:style>
  <w:style w:type="paragraph" w:styleId="FootnoteText">
    <w:name w:val="footnote text"/>
    <w:basedOn w:val="Normal"/>
    <w:link w:val="FootnoteTextChar"/>
    <w:uiPriority w:val="99"/>
    <w:semiHidden/>
    <w:unhideWhenUsed/>
    <w:rsid w:val="002D3B73"/>
    <w:pPr>
      <w:tabs>
        <w:tab w:val="left" w:pos="170"/>
      </w:tabs>
      <w:spacing w:after="0" w:line="240" w:lineRule="exact"/>
      <w:ind w:left="170" w:hanging="170"/>
    </w:pPr>
    <w:rPr>
      <w:rFonts w:ascii="Times New Roman" w:eastAsia="Times New Roman" w:hAnsi="Times New Roman" w:cs="Times New Roman"/>
      <w:sz w:val="14"/>
      <w:lang w:eastAsia="sv-SE"/>
    </w:rPr>
  </w:style>
  <w:style w:type="character" w:customStyle="1" w:styleId="FootnoteTextChar">
    <w:name w:val="Footnote Text Char"/>
    <w:basedOn w:val="DefaultParagraphFont"/>
    <w:link w:val="FootnoteText"/>
    <w:uiPriority w:val="99"/>
    <w:semiHidden/>
    <w:rsid w:val="002D3B73"/>
    <w:rPr>
      <w:rFonts w:ascii="Times New Roman" w:eastAsia="Times New Roman" w:hAnsi="Times New Roman" w:cs="Times New Roman"/>
      <w:sz w:val="14"/>
      <w:lang w:val="en-US" w:eastAsia="sv-SE"/>
    </w:rPr>
  </w:style>
  <w:style w:type="paragraph" w:styleId="CommentText">
    <w:name w:val="annotation text"/>
    <w:basedOn w:val="Normal"/>
    <w:link w:val="CommentTextChar"/>
    <w:uiPriority w:val="99"/>
    <w:semiHidden/>
    <w:unhideWhenUsed/>
    <w:rsid w:val="002D3B73"/>
    <w:pPr>
      <w:spacing w:after="200"/>
    </w:pPr>
    <w:rPr>
      <w:sz w:val="20"/>
      <w:szCs w:val="20"/>
      <w:lang w:val="en-GB"/>
    </w:rPr>
  </w:style>
  <w:style w:type="character" w:customStyle="1" w:styleId="CommentTextChar">
    <w:name w:val="Comment Text Char"/>
    <w:basedOn w:val="DefaultParagraphFont"/>
    <w:link w:val="CommentText"/>
    <w:uiPriority w:val="99"/>
    <w:semiHidden/>
    <w:rsid w:val="002D3B73"/>
    <w:rPr>
      <w:sz w:val="20"/>
      <w:szCs w:val="20"/>
      <w:lang w:val="en-GB"/>
    </w:rPr>
  </w:style>
  <w:style w:type="character" w:customStyle="1" w:styleId="HeaderChar">
    <w:name w:val="Header Char"/>
    <w:basedOn w:val="DefaultParagraphFont"/>
    <w:link w:val="Header"/>
    <w:rsid w:val="002D3B73"/>
    <w:rPr>
      <w:lang w:val="en-US"/>
    </w:rPr>
  </w:style>
  <w:style w:type="paragraph" w:styleId="Header">
    <w:name w:val="header"/>
    <w:basedOn w:val="Normal"/>
    <w:link w:val="HeaderChar"/>
    <w:unhideWhenUsed/>
    <w:rsid w:val="002D3B73"/>
    <w:pPr>
      <w:tabs>
        <w:tab w:val="center" w:pos="4536"/>
        <w:tab w:val="right" w:pos="9072"/>
      </w:tabs>
      <w:spacing w:after="0"/>
    </w:pPr>
  </w:style>
  <w:style w:type="character" w:customStyle="1" w:styleId="SidhuvudChar1">
    <w:name w:val="Sidhuvud Char1"/>
    <w:basedOn w:val="DefaultParagraphFont"/>
    <w:uiPriority w:val="99"/>
    <w:semiHidden/>
    <w:rsid w:val="002D3B73"/>
    <w:rPr>
      <w:lang w:val="en-US"/>
    </w:rPr>
  </w:style>
  <w:style w:type="paragraph" w:styleId="Footer">
    <w:name w:val="footer"/>
    <w:basedOn w:val="Normal"/>
    <w:link w:val="FooterChar"/>
    <w:uiPriority w:val="99"/>
    <w:unhideWhenUsed/>
    <w:rsid w:val="002D3B73"/>
    <w:pPr>
      <w:tabs>
        <w:tab w:val="center" w:pos="4536"/>
        <w:tab w:val="right" w:pos="9072"/>
      </w:tabs>
      <w:spacing w:after="0"/>
    </w:pPr>
  </w:style>
  <w:style w:type="character" w:customStyle="1" w:styleId="FooterChar">
    <w:name w:val="Footer Char"/>
    <w:basedOn w:val="DefaultParagraphFont"/>
    <w:link w:val="Footer"/>
    <w:uiPriority w:val="99"/>
    <w:rsid w:val="002D3B73"/>
    <w:rPr>
      <w:lang w:val="en-US"/>
    </w:rPr>
  </w:style>
  <w:style w:type="character" w:customStyle="1" w:styleId="CommentSubjectChar">
    <w:name w:val="Comment Subject Char"/>
    <w:basedOn w:val="CommentTextChar"/>
    <w:link w:val="CommentSubject"/>
    <w:uiPriority w:val="99"/>
    <w:semiHidden/>
    <w:rsid w:val="002D3B73"/>
    <w:rPr>
      <w:b/>
      <w:bCs/>
      <w:sz w:val="20"/>
      <w:szCs w:val="20"/>
      <w:lang w:val="en-US"/>
    </w:rPr>
  </w:style>
  <w:style w:type="paragraph" w:styleId="CommentSubject">
    <w:name w:val="annotation subject"/>
    <w:basedOn w:val="CommentText"/>
    <w:next w:val="CommentText"/>
    <w:link w:val="CommentSubjectChar"/>
    <w:uiPriority w:val="99"/>
    <w:semiHidden/>
    <w:unhideWhenUsed/>
    <w:rsid w:val="002D3B73"/>
    <w:pPr>
      <w:spacing w:after="160"/>
    </w:pPr>
    <w:rPr>
      <w:b/>
      <w:bCs/>
      <w:lang w:val="en-US"/>
    </w:rPr>
  </w:style>
  <w:style w:type="character" w:customStyle="1" w:styleId="BalloonTextChar">
    <w:name w:val="Balloon Text Char"/>
    <w:basedOn w:val="DefaultParagraphFont"/>
    <w:link w:val="BalloonText"/>
    <w:uiPriority w:val="99"/>
    <w:semiHidden/>
    <w:rsid w:val="002D3B73"/>
    <w:rPr>
      <w:rFonts w:ascii="Segoe UI" w:hAnsi="Segoe UI" w:cs="Segoe UI"/>
      <w:sz w:val="18"/>
      <w:szCs w:val="18"/>
      <w:lang w:val="en-US"/>
    </w:rPr>
  </w:style>
  <w:style w:type="paragraph" w:styleId="BalloonText">
    <w:name w:val="Balloon Text"/>
    <w:basedOn w:val="Normal"/>
    <w:link w:val="BalloonTextChar"/>
    <w:uiPriority w:val="99"/>
    <w:semiHidden/>
    <w:unhideWhenUsed/>
    <w:rsid w:val="002D3B73"/>
    <w:pPr>
      <w:spacing w:after="0"/>
    </w:pPr>
    <w:rPr>
      <w:rFonts w:ascii="Segoe UI" w:hAnsi="Segoe UI" w:cs="Segoe UI"/>
      <w:sz w:val="18"/>
      <w:szCs w:val="18"/>
    </w:rPr>
  </w:style>
  <w:style w:type="paragraph" w:styleId="ListParagraph">
    <w:name w:val="List Paragraph"/>
    <w:basedOn w:val="Normal"/>
    <w:uiPriority w:val="34"/>
    <w:qFormat/>
    <w:rsid w:val="002D3B73"/>
    <w:pPr>
      <w:ind w:left="720"/>
      <w:contextualSpacing/>
    </w:pPr>
  </w:style>
  <w:style w:type="paragraph" w:customStyle="1" w:styleId="Ledtext">
    <w:name w:val="Ledtext"/>
    <w:basedOn w:val="Normal"/>
    <w:next w:val="Normal"/>
    <w:uiPriority w:val="99"/>
    <w:semiHidden/>
    <w:rsid w:val="002D3B73"/>
    <w:pPr>
      <w:widowControl w:val="0"/>
      <w:spacing w:after="120" w:line="238" w:lineRule="exact"/>
    </w:pPr>
    <w:rPr>
      <w:rFonts w:ascii="Arial" w:eastAsia="Times New Roman" w:hAnsi="Arial" w:cs="Times New Roman"/>
      <w:i/>
      <w:color w:val="FF0000"/>
      <w:sz w:val="20"/>
      <w:szCs w:val="20"/>
      <w:lang w:eastAsia="sv-SE"/>
    </w:rPr>
  </w:style>
  <w:style w:type="paragraph" w:customStyle="1" w:styleId="VRBrdIndrag">
    <w:name w:val="VR Bröd Indrag"/>
    <w:basedOn w:val="Normal"/>
    <w:next w:val="VRBrdUtanIndrag"/>
    <w:uiPriority w:val="6"/>
    <w:semiHidden/>
    <w:qFormat/>
    <w:rsid w:val="002D3B73"/>
    <w:pPr>
      <w:spacing w:after="0" w:line="260" w:lineRule="exact"/>
      <w:ind w:firstLine="227"/>
    </w:pPr>
    <w:rPr>
      <w:rFonts w:ascii="Times New Roman" w:eastAsia="Times New Roman" w:hAnsi="Times New Roman" w:cs="Times New Roman"/>
      <w:sz w:val="21"/>
      <w:lang w:eastAsia="sv-SE"/>
    </w:rPr>
  </w:style>
  <w:style w:type="paragraph" w:customStyle="1" w:styleId="VRBrdUtanIndrag">
    <w:name w:val="VR Bröd Utan Indrag"/>
    <w:basedOn w:val="Normal"/>
    <w:next w:val="VRBrdIndrag"/>
    <w:uiPriority w:val="5"/>
    <w:semiHidden/>
    <w:qFormat/>
    <w:rsid w:val="002D3B73"/>
    <w:pPr>
      <w:spacing w:after="0" w:line="260" w:lineRule="exact"/>
    </w:pPr>
    <w:rPr>
      <w:rFonts w:ascii="Times New Roman" w:eastAsia="Times New Roman" w:hAnsi="Times New Roman" w:cs="Times New Roman"/>
      <w:sz w:val="21"/>
      <w:lang w:eastAsia="sv-SE"/>
    </w:rPr>
  </w:style>
  <w:style w:type="paragraph" w:customStyle="1" w:styleId="Bread">
    <w:name w:val="Bread"/>
    <w:basedOn w:val="Normal"/>
    <w:uiPriority w:val="99"/>
    <w:semiHidden/>
    <w:qFormat/>
    <w:rsid w:val="002D3B73"/>
    <w:pPr>
      <w:spacing w:after="240" w:line="300" w:lineRule="atLeast"/>
    </w:pPr>
    <w:rPr>
      <w:rFonts w:ascii="Arial" w:eastAsia="Times New Roman" w:hAnsi="Arial" w:cs="Times New Roman"/>
      <w:szCs w:val="20"/>
      <w:lang w:eastAsia="sv-SE"/>
    </w:rPr>
  </w:style>
  <w:style w:type="paragraph" w:customStyle="1" w:styleId="Default">
    <w:name w:val="Default"/>
    <w:rsid w:val="00133E17"/>
    <w:pPr>
      <w:autoSpaceDE w:val="0"/>
      <w:autoSpaceDN w:val="0"/>
      <w:adjustRightInd w:val="0"/>
      <w:spacing w:after="0" w:line="240" w:lineRule="auto"/>
    </w:pPr>
    <w:rPr>
      <w:rFonts w:ascii="Snap ITC" w:hAnsi="Snap ITC" w:cs="Times New Roman"/>
      <w:color w:val="000000"/>
      <w:sz w:val="24"/>
      <w:szCs w:val="24"/>
    </w:rPr>
  </w:style>
  <w:style w:type="paragraph" w:styleId="NormalWeb">
    <w:name w:val="Normal (Web)"/>
    <w:basedOn w:val="Normal"/>
    <w:uiPriority w:val="99"/>
    <w:semiHidden/>
    <w:unhideWhenUsed/>
    <w:rsid w:val="009E0C4D"/>
    <w:pPr>
      <w:spacing w:before="100" w:beforeAutospacing="1" w:after="100" w:afterAutospacing="1"/>
    </w:pPr>
    <w:rPr>
      <w:rFonts w:ascii="Calibri" w:hAnsi="Calibri" w:cs="Calibri"/>
      <w:lang w:val="sv-SE" w:eastAsia="sv-SE"/>
    </w:rPr>
  </w:style>
  <w:style w:type="character" w:styleId="UnresolvedMention">
    <w:name w:val="Unresolved Mention"/>
    <w:basedOn w:val="DefaultParagraphFont"/>
    <w:uiPriority w:val="99"/>
    <w:semiHidden/>
    <w:unhideWhenUsed/>
    <w:rsid w:val="00581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501">
      <w:bodyDiv w:val="1"/>
      <w:marLeft w:val="0"/>
      <w:marRight w:val="0"/>
      <w:marTop w:val="0"/>
      <w:marBottom w:val="0"/>
      <w:divBdr>
        <w:top w:val="none" w:sz="0" w:space="0" w:color="auto"/>
        <w:left w:val="none" w:sz="0" w:space="0" w:color="auto"/>
        <w:bottom w:val="none" w:sz="0" w:space="0" w:color="auto"/>
        <w:right w:val="none" w:sz="0" w:space="0" w:color="auto"/>
      </w:divBdr>
    </w:div>
    <w:div w:id="183056368">
      <w:bodyDiv w:val="1"/>
      <w:marLeft w:val="0"/>
      <w:marRight w:val="0"/>
      <w:marTop w:val="0"/>
      <w:marBottom w:val="0"/>
      <w:divBdr>
        <w:top w:val="none" w:sz="0" w:space="0" w:color="auto"/>
        <w:left w:val="none" w:sz="0" w:space="0" w:color="auto"/>
        <w:bottom w:val="none" w:sz="0" w:space="0" w:color="auto"/>
        <w:right w:val="none" w:sz="0" w:space="0" w:color="auto"/>
      </w:divBdr>
    </w:div>
    <w:div w:id="442464192">
      <w:bodyDiv w:val="1"/>
      <w:marLeft w:val="0"/>
      <w:marRight w:val="0"/>
      <w:marTop w:val="0"/>
      <w:marBottom w:val="0"/>
      <w:divBdr>
        <w:top w:val="none" w:sz="0" w:space="0" w:color="auto"/>
        <w:left w:val="none" w:sz="0" w:space="0" w:color="auto"/>
        <w:bottom w:val="none" w:sz="0" w:space="0" w:color="auto"/>
        <w:right w:val="none" w:sz="0" w:space="0" w:color="auto"/>
      </w:divBdr>
    </w:div>
    <w:div w:id="576676036">
      <w:bodyDiv w:val="1"/>
      <w:marLeft w:val="0"/>
      <w:marRight w:val="0"/>
      <w:marTop w:val="0"/>
      <w:marBottom w:val="0"/>
      <w:divBdr>
        <w:top w:val="none" w:sz="0" w:space="0" w:color="auto"/>
        <w:left w:val="none" w:sz="0" w:space="0" w:color="auto"/>
        <w:bottom w:val="none" w:sz="0" w:space="0" w:color="auto"/>
        <w:right w:val="none" w:sz="0" w:space="0" w:color="auto"/>
      </w:divBdr>
    </w:div>
    <w:div w:id="579173798">
      <w:bodyDiv w:val="1"/>
      <w:marLeft w:val="0"/>
      <w:marRight w:val="0"/>
      <w:marTop w:val="0"/>
      <w:marBottom w:val="0"/>
      <w:divBdr>
        <w:top w:val="none" w:sz="0" w:space="0" w:color="auto"/>
        <w:left w:val="none" w:sz="0" w:space="0" w:color="auto"/>
        <w:bottom w:val="none" w:sz="0" w:space="0" w:color="auto"/>
        <w:right w:val="none" w:sz="0" w:space="0" w:color="auto"/>
      </w:divBdr>
    </w:div>
    <w:div w:id="887227857">
      <w:bodyDiv w:val="1"/>
      <w:marLeft w:val="0"/>
      <w:marRight w:val="0"/>
      <w:marTop w:val="0"/>
      <w:marBottom w:val="0"/>
      <w:divBdr>
        <w:top w:val="none" w:sz="0" w:space="0" w:color="auto"/>
        <w:left w:val="none" w:sz="0" w:space="0" w:color="auto"/>
        <w:bottom w:val="none" w:sz="0" w:space="0" w:color="auto"/>
        <w:right w:val="none" w:sz="0" w:space="0" w:color="auto"/>
      </w:divBdr>
    </w:div>
    <w:div w:id="913122848">
      <w:bodyDiv w:val="1"/>
      <w:marLeft w:val="0"/>
      <w:marRight w:val="0"/>
      <w:marTop w:val="0"/>
      <w:marBottom w:val="0"/>
      <w:divBdr>
        <w:top w:val="none" w:sz="0" w:space="0" w:color="auto"/>
        <w:left w:val="none" w:sz="0" w:space="0" w:color="auto"/>
        <w:bottom w:val="none" w:sz="0" w:space="0" w:color="auto"/>
        <w:right w:val="none" w:sz="0" w:space="0" w:color="auto"/>
      </w:divBdr>
    </w:div>
    <w:div w:id="940917069">
      <w:bodyDiv w:val="1"/>
      <w:marLeft w:val="0"/>
      <w:marRight w:val="0"/>
      <w:marTop w:val="0"/>
      <w:marBottom w:val="0"/>
      <w:divBdr>
        <w:top w:val="none" w:sz="0" w:space="0" w:color="auto"/>
        <w:left w:val="none" w:sz="0" w:space="0" w:color="auto"/>
        <w:bottom w:val="none" w:sz="0" w:space="0" w:color="auto"/>
        <w:right w:val="none" w:sz="0" w:space="0" w:color="auto"/>
      </w:divBdr>
    </w:div>
    <w:div w:id="1015612145">
      <w:bodyDiv w:val="1"/>
      <w:marLeft w:val="0"/>
      <w:marRight w:val="0"/>
      <w:marTop w:val="0"/>
      <w:marBottom w:val="0"/>
      <w:divBdr>
        <w:top w:val="none" w:sz="0" w:space="0" w:color="auto"/>
        <w:left w:val="none" w:sz="0" w:space="0" w:color="auto"/>
        <w:bottom w:val="none" w:sz="0" w:space="0" w:color="auto"/>
        <w:right w:val="none" w:sz="0" w:space="0" w:color="auto"/>
      </w:divBdr>
    </w:div>
    <w:div w:id="1394354883">
      <w:bodyDiv w:val="1"/>
      <w:marLeft w:val="0"/>
      <w:marRight w:val="0"/>
      <w:marTop w:val="0"/>
      <w:marBottom w:val="0"/>
      <w:divBdr>
        <w:top w:val="none" w:sz="0" w:space="0" w:color="auto"/>
        <w:left w:val="none" w:sz="0" w:space="0" w:color="auto"/>
        <w:bottom w:val="none" w:sz="0" w:space="0" w:color="auto"/>
        <w:right w:val="none" w:sz="0" w:space="0" w:color="auto"/>
      </w:divBdr>
    </w:div>
    <w:div w:id="1438528726">
      <w:bodyDiv w:val="1"/>
      <w:marLeft w:val="0"/>
      <w:marRight w:val="0"/>
      <w:marTop w:val="0"/>
      <w:marBottom w:val="0"/>
      <w:divBdr>
        <w:top w:val="none" w:sz="0" w:space="0" w:color="auto"/>
        <w:left w:val="none" w:sz="0" w:space="0" w:color="auto"/>
        <w:bottom w:val="none" w:sz="0" w:space="0" w:color="auto"/>
        <w:right w:val="none" w:sz="0" w:space="0" w:color="auto"/>
      </w:divBdr>
    </w:div>
    <w:div w:id="1466898518">
      <w:bodyDiv w:val="1"/>
      <w:marLeft w:val="0"/>
      <w:marRight w:val="0"/>
      <w:marTop w:val="0"/>
      <w:marBottom w:val="0"/>
      <w:divBdr>
        <w:top w:val="none" w:sz="0" w:space="0" w:color="auto"/>
        <w:left w:val="none" w:sz="0" w:space="0" w:color="auto"/>
        <w:bottom w:val="none" w:sz="0" w:space="0" w:color="auto"/>
        <w:right w:val="none" w:sz="0" w:space="0" w:color="auto"/>
      </w:divBdr>
    </w:div>
    <w:div w:id="1480535673">
      <w:bodyDiv w:val="1"/>
      <w:marLeft w:val="0"/>
      <w:marRight w:val="0"/>
      <w:marTop w:val="0"/>
      <w:marBottom w:val="0"/>
      <w:divBdr>
        <w:top w:val="none" w:sz="0" w:space="0" w:color="auto"/>
        <w:left w:val="none" w:sz="0" w:space="0" w:color="auto"/>
        <w:bottom w:val="none" w:sz="0" w:space="0" w:color="auto"/>
        <w:right w:val="none" w:sz="0" w:space="0" w:color="auto"/>
      </w:divBdr>
    </w:div>
    <w:div w:id="17126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edenabroad.se\pretori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mbassaden.pretoria-sida@gov.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ommersupphandling.se/elite/Journal/Procurement/ProcurementMaterial/MainCriteria/EditCriterion.aspx?JournalId=9204&amp;CriterionId=3609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ommersupphandling.se/elite/Journal/Procurement/ProcurementMaterial/MainCriteria/EditCriterion.aspx?JournalId=9204&amp;CriterionId=36095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mmersupphandling.se/elite/Journal/Procurement/ProcurementMaterial/MainCriteria/EditCriterion.aspx?JournalId=9204&amp;CriterionId=362895"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C826B252C70141BF1CDD9D231FA7CE" ma:contentTypeVersion="0" ma:contentTypeDescription="Upload an image or a photograph." ma:contentTypeScope="" ma:versionID="6afc4e9d96d956bdd786c80168a56952">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1FE3630-8E07-4CAB-ACAC-616710C87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F9A65-4751-4847-A283-26ABCA6D7938}">
  <ds:schemaRefs>
    <ds:schemaRef ds:uri="http://schemas.openxmlformats.org/officeDocument/2006/bibliography"/>
  </ds:schemaRefs>
</ds:datastoreItem>
</file>

<file path=customXml/itemProps3.xml><?xml version="1.0" encoding="utf-8"?>
<ds:datastoreItem xmlns:ds="http://schemas.openxmlformats.org/officeDocument/2006/customXml" ds:itemID="{83F69CBB-1A9D-4CA6-B512-6029A32377D9}">
  <ds:schemaRefs>
    <ds:schemaRef ds:uri="http://schemas.microsoft.com/sharepoint/v3/contenttype/forms"/>
  </ds:schemaRefs>
</ds:datastoreItem>
</file>

<file path=customXml/itemProps4.xml><?xml version="1.0" encoding="utf-8"?>
<ds:datastoreItem xmlns:ds="http://schemas.openxmlformats.org/officeDocument/2006/customXml" ds:itemID="{B2DA59DA-3CBF-4EDF-BA71-B906003F14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8911</Words>
  <Characters>47234</Characters>
  <Application>Microsoft Office Word</Application>
  <DocSecurity>4</DocSecurity>
  <Lines>393</Lines>
  <Paragraphs>112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Procurement Document Embassy</vt:lpstr>
      <vt:lpstr/>
    </vt:vector>
  </TitlesOfParts>
  <Company/>
  <LinksUpToDate>false</LinksUpToDate>
  <CharactersWithSpaces>56033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 Embassy</dc:title>
  <dc:subject/>
  <dc:creator>Magdalena Arffman</dc:creator>
  <cp:keywords/>
  <dc:description/>
  <cp:lastModifiedBy>Omar Gueye</cp:lastModifiedBy>
  <cp:revision>2</cp:revision>
  <dcterms:created xsi:type="dcterms:W3CDTF">2024-01-31T13:48:00Z</dcterms:created>
  <dcterms:modified xsi:type="dcterms:W3CDTF">2024-01-31T13:48:00Z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0x010102007DC826B252C70141BF1CDD9D231FA7CE</vt:lpwstr>
  </property>
  <property fmtid="{D5CDD505-2E9C-101B-9397-08002B2CF9AE}" pid="3" name="TaxKeyword">
    <vt:lpwstr/>
  </property>
  <property fmtid="{D5CDD505-2E9C-101B-9397-08002B2CF9AE}" pid="4" name="KITDocumentType">
    <vt:lpwstr>9;#Övriga dokument|99fa1741-7f18-4d7f-bfef-769c816ff98f</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